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D9" w:rsidRPr="00931681" w:rsidRDefault="002276D9" w:rsidP="002276D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31681">
        <w:rPr>
          <w:b/>
          <w:sz w:val="24"/>
          <w:szCs w:val="24"/>
          <w:lang w:val="en-US"/>
        </w:rPr>
        <w:t>Cortisol awakening response and cognitive performance in hypertensive and normotensive older people.</w:t>
      </w:r>
    </w:p>
    <w:p w:rsidR="002276D9" w:rsidRPr="00293EBD" w:rsidRDefault="002276D9" w:rsidP="002276D9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</w:rPr>
        <w:t>Matias M. Pulopulos</w:t>
      </w:r>
      <w:r w:rsidRPr="00293EBD">
        <w:rPr>
          <w:sz w:val="24"/>
          <w:szCs w:val="24"/>
        </w:rPr>
        <w:t xml:space="preserve">, Vanesa Hidalgo, Sara Puig-Perez </w:t>
      </w:r>
      <w:r w:rsidRPr="00293EBD">
        <w:rPr>
          <w:sz w:val="24"/>
          <w:szCs w:val="24"/>
          <w:lang w:val="es-ES_tradnl"/>
        </w:rPr>
        <w:t>and Alicia Salvador</w:t>
      </w:r>
    </w:p>
    <w:p w:rsidR="00DD1B81" w:rsidRPr="002276D9" w:rsidRDefault="002276D9" w:rsidP="002276D9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en-US"/>
        </w:rPr>
      </w:pPr>
      <w:r w:rsidRPr="002276D9">
        <w:rPr>
          <w:b/>
          <w:sz w:val="24"/>
          <w:szCs w:val="24"/>
          <w:lang w:val="en-US"/>
        </w:rPr>
        <w:t xml:space="preserve">Supplementary </w:t>
      </w:r>
      <w:r>
        <w:rPr>
          <w:b/>
          <w:sz w:val="24"/>
          <w:szCs w:val="24"/>
          <w:lang w:val="en-US"/>
        </w:rPr>
        <w:t>material</w:t>
      </w:r>
      <w:r w:rsidRPr="002276D9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2276D9" w:rsidRPr="004C6FD5" w:rsidRDefault="002276D9" w:rsidP="004C6FD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b/>
          <w:sz w:val="24"/>
          <w:szCs w:val="24"/>
          <w:lang w:val="en-US"/>
        </w:rPr>
      </w:pPr>
      <w:r w:rsidRPr="004C6FD5">
        <w:rPr>
          <w:b/>
          <w:sz w:val="24"/>
          <w:szCs w:val="24"/>
          <w:lang w:val="en-US"/>
        </w:rPr>
        <w:t>Selection of covariates for regression analyses</w:t>
      </w:r>
    </w:p>
    <w:p w:rsidR="002276D9" w:rsidRPr="00931681" w:rsidRDefault="00705313" w:rsidP="0072710F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Pr="00931681">
        <w:rPr>
          <w:sz w:val="24"/>
          <w:szCs w:val="24"/>
          <w:lang w:val="en-US"/>
        </w:rPr>
        <w:t>ased on previous studies (e.g., Clow et al., 2010; Cournot et al., 2006; Sindi et al., 2013; Wright and Steptoe, 2005)</w:t>
      </w:r>
      <w:r>
        <w:rPr>
          <w:sz w:val="24"/>
          <w:szCs w:val="24"/>
          <w:lang w:val="en-US"/>
        </w:rPr>
        <w:t>, w</w:t>
      </w:r>
      <w:r w:rsidR="002276D9" w:rsidRPr="00931681">
        <w:rPr>
          <w:sz w:val="24"/>
          <w:szCs w:val="24"/>
          <w:lang w:val="en-US"/>
        </w:rPr>
        <w:t xml:space="preserve">e selected </w:t>
      </w:r>
      <w:r w:rsidR="0072710F">
        <w:rPr>
          <w:sz w:val="24"/>
          <w:szCs w:val="24"/>
          <w:lang w:val="en-US"/>
        </w:rPr>
        <w:t xml:space="preserve">the following </w:t>
      </w:r>
      <w:r w:rsidR="002276D9" w:rsidRPr="00931681">
        <w:rPr>
          <w:sz w:val="24"/>
          <w:szCs w:val="24"/>
          <w:lang w:val="en-US"/>
        </w:rPr>
        <w:t>covariates to control for their possible effects on CAR and/or cognitive performance</w:t>
      </w:r>
      <w:r w:rsidR="0072710F">
        <w:rPr>
          <w:sz w:val="24"/>
          <w:szCs w:val="24"/>
          <w:lang w:val="en-US"/>
        </w:rPr>
        <w:t>: age, SES, BMI, mean cortisol levels during the session, change in cortisol levels during the session, awakening time, sex</w:t>
      </w:r>
      <w:r w:rsidR="004A1348">
        <w:rPr>
          <w:sz w:val="24"/>
          <w:szCs w:val="24"/>
          <w:lang w:val="en-US"/>
        </w:rPr>
        <w:t>,</w:t>
      </w:r>
      <w:r w:rsidR="0072710F">
        <w:rPr>
          <w:sz w:val="24"/>
          <w:szCs w:val="24"/>
          <w:lang w:val="en-US"/>
        </w:rPr>
        <w:t xml:space="preserve"> and physical activity.</w:t>
      </w:r>
      <w:r w:rsidR="002276D9" w:rsidRPr="00931681">
        <w:rPr>
          <w:sz w:val="24"/>
          <w:szCs w:val="24"/>
          <w:lang w:val="en-US"/>
        </w:rPr>
        <w:t xml:space="preserve"> </w:t>
      </w:r>
      <w:r w:rsidR="00756D5F">
        <w:rPr>
          <w:sz w:val="24"/>
          <w:szCs w:val="24"/>
          <w:lang w:val="en-US"/>
        </w:rPr>
        <w:t>In order to avoid</w:t>
      </w:r>
      <w:r w:rsidR="002276D9" w:rsidRPr="00931681">
        <w:rPr>
          <w:sz w:val="24"/>
          <w:szCs w:val="24"/>
          <w:lang w:val="en-US"/>
        </w:rPr>
        <w:t xml:space="preserve"> overfit</w:t>
      </w:r>
      <w:r w:rsidR="00756D5F">
        <w:rPr>
          <w:sz w:val="24"/>
          <w:szCs w:val="24"/>
          <w:lang w:val="en-US"/>
        </w:rPr>
        <w:t>ting</w:t>
      </w:r>
      <w:r w:rsidR="002276D9" w:rsidRPr="00931681">
        <w:rPr>
          <w:sz w:val="24"/>
          <w:szCs w:val="24"/>
          <w:lang w:val="en-US"/>
        </w:rPr>
        <w:t xml:space="preserve"> the regression analyses, we included as covariates only those variables </w:t>
      </w:r>
      <w:r w:rsidR="00756D5F">
        <w:rPr>
          <w:sz w:val="24"/>
          <w:szCs w:val="24"/>
          <w:lang w:val="en-US"/>
        </w:rPr>
        <w:t xml:space="preserve">that </w:t>
      </w:r>
      <w:r w:rsidR="002276D9" w:rsidRPr="00931681">
        <w:rPr>
          <w:sz w:val="24"/>
          <w:szCs w:val="24"/>
          <w:lang w:val="en-US"/>
        </w:rPr>
        <w:t>show</w:t>
      </w:r>
      <w:r w:rsidR="00756D5F">
        <w:rPr>
          <w:sz w:val="24"/>
          <w:szCs w:val="24"/>
          <w:lang w:val="en-US"/>
        </w:rPr>
        <w:t>ed</w:t>
      </w:r>
      <w:r w:rsidR="002276D9" w:rsidRPr="00931681">
        <w:rPr>
          <w:sz w:val="24"/>
          <w:szCs w:val="24"/>
          <w:lang w:val="en-US"/>
        </w:rPr>
        <w:t xml:space="preserve"> a </w:t>
      </w:r>
      <w:r w:rsidR="00F266EB">
        <w:rPr>
          <w:sz w:val="24"/>
          <w:szCs w:val="24"/>
          <w:lang w:val="en-US"/>
        </w:rPr>
        <w:t>correlation</w:t>
      </w:r>
      <w:r w:rsidR="002276D9" w:rsidRPr="00931681">
        <w:rPr>
          <w:sz w:val="24"/>
          <w:szCs w:val="24"/>
          <w:lang w:val="en-US"/>
        </w:rPr>
        <w:t xml:space="preserve"> p&lt;0.010 with </w:t>
      </w:r>
      <w:r w:rsidR="004A1348">
        <w:rPr>
          <w:sz w:val="24"/>
          <w:szCs w:val="24"/>
          <w:lang w:val="en-US"/>
        </w:rPr>
        <w:t xml:space="preserve">the </w:t>
      </w:r>
      <w:r w:rsidR="002276D9" w:rsidRPr="00931681">
        <w:rPr>
          <w:sz w:val="24"/>
          <w:szCs w:val="24"/>
          <w:lang w:val="en-US"/>
        </w:rPr>
        <w:t>CAR and/</w:t>
      </w:r>
      <w:r w:rsidR="0072710F">
        <w:rPr>
          <w:sz w:val="24"/>
          <w:szCs w:val="24"/>
          <w:lang w:val="en-US"/>
        </w:rPr>
        <w:t>or cognitive outcomes. Table</w:t>
      </w:r>
      <w:r w:rsidR="004A1348">
        <w:rPr>
          <w:sz w:val="24"/>
          <w:szCs w:val="24"/>
          <w:lang w:val="en-US"/>
        </w:rPr>
        <w:t>s</w:t>
      </w:r>
      <w:r w:rsidR="0072710F">
        <w:rPr>
          <w:sz w:val="24"/>
          <w:szCs w:val="24"/>
          <w:lang w:val="en-US"/>
        </w:rPr>
        <w:t xml:space="preserve"> S1 and S2</w:t>
      </w:r>
      <w:r w:rsidR="002276D9" w:rsidRPr="00931681">
        <w:rPr>
          <w:sz w:val="24"/>
          <w:szCs w:val="24"/>
          <w:lang w:val="en-US"/>
        </w:rPr>
        <w:t xml:space="preserve"> show the correlation analyses for the complete sample and the 2 Day-CAR subgroup, respectively.</w:t>
      </w: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1575"/>
        <w:gridCol w:w="339"/>
        <w:gridCol w:w="58"/>
        <w:gridCol w:w="754"/>
        <w:gridCol w:w="58"/>
        <w:gridCol w:w="792"/>
        <w:gridCol w:w="58"/>
        <w:gridCol w:w="793"/>
        <w:gridCol w:w="58"/>
        <w:gridCol w:w="792"/>
        <w:gridCol w:w="58"/>
        <w:gridCol w:w="793"/>
        <w:gridCol w:w="58"/>
        <w:gridCol w:w="792"/>
        <w:gridCol w:w="58"/>
        <w:gridCol w:w="787"/>
        <w:gridCol w:w="67"/>
        <w:gridCol w:w="708"/>
        <w:gridCol w:w="142"/>
        <w:gridCol w:w="724"/>
        <w:gridCol w:w="142"/>
      </w:tblGrid>
      <w:tr w:rsidR="002276D9" w:rsidRPr="00DD1B81" w:rsidTr="00DD1B81">
        <w:trPr>
          <w:gridAfter w:val="1"/>
          <w:wAfter w:w="142" w:type="dxa"/>
          <w:trHeight w:val="300"/>
          <w:jc w:val="center"/>
        </w:trPr>
        <w:tc>
          <w:tcPr>
            <w:tcW w:w="9464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72710F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Table S1</w:t>
            </w:r>
            <w:r w:rsidR="002276D9"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. Correlation analyses for the selected covariates, CAR and cognitive outcomes for the complete sample.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BMI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Mean cortisol</w:t>
            </w:r>
          </w:p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Change cortisol</w:t>
            </w:r>
          </w:p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session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Mean sleep time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Awak. time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Sex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Physical activity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CAR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0.236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-0.168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0.131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-0.056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0.137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0.924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0.988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0.844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0.224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0.344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0.686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3234CF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TMT-</w:t>
            </w:r>
            <w:r w:rsidR="002276D9"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0.331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-0.305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0.045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0.253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-0.129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0.218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0.090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0.749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0.068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0.688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0.359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0.118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0.522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3234CF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TMT-</w:t>
            </w:r>
            <w:r w:rsidR="002276D9"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0.438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-0.246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0.128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-0.011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0.043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-0.172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0.223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0.077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0.076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0.361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0.939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0.761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0.899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0.218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0.108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0.584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W-C naming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-0.326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0.307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-0.146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-0.082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-0.187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0.043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0.298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0.888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0.557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0.794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0.181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0.761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Stroop Interf.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0.274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0.063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-0.172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-0.149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-0.194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-0.163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-0.113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-0.159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0.047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0.652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0.754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0.219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0.288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0.165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0.243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0.421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0.254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DS-Forward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0.331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0.137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-0.131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-0.071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-0.086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-0.058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-0.551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-0.065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0.347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0.536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0.679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0.641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DS-Backward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-0.169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0.181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0.325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-0.151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-0.133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-0.094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-0.335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-0.167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0.222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0.275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0.339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0.499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0.847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0.228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RAVLT Learning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-0.247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0.097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-0.049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-0.022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-0.231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-0.078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0.173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0.133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-0.262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0.485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0.726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0.874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0.093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0.577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0.210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0.338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0.056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RAVLT Immed.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-0.133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-0.010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-0.063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0.193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-0.171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0.157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0.187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-0.081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0.338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0.942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0.653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0.162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0.885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0.256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0.175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0.562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RAVLT Learning</w:t>
            </w:r>
          </w:p>
        </w:tc>
        <w:tc>
          <w:tcPr>
            <w:tcW w:w="339" w:type="dxa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0.070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-0.535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-0.297</w:t>
            </w:r>
          </w:p>
        </w:tc>
        <w:tc>
          <w:tcPr>
            <w:tcW w:w="84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-0.171</w:t>
            </w:r>
          </w:p>
        </w:tc>
        <w:tc>
          <w:tcPr>
            <w:tcW w:w="775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0.069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-0.078</w:t>
            </w:r>
          </w:p>
        </w:tc>
      </w:tr>
      <w:tr w:rsidR="002276D9" w:rsidRPr="00B5113F" w:rsidTr="00DD1B81">
        <w:trPr>
          <w:gridAfter w:val="1"/>
          <w:wAfter w:w="142" w:type="dxa"/>
          <w:trHeight w:val="30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0.614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0.448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0.809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0.491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0.217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0.619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0.573</w:t>
            </w:r>
          </w:p>
        </w:tc>
      </w:tr>
      <w:tr w:rsidR="002276D9" w:rsidRPr="00DD1B81" w:rsidTr="00DD1B81">
        <w:trPr>
          <w:gridAfter w:val="1"/>
          <w:wAfter w:w="142" w:type="dxa"/>
          <w:trHeight w:val="300"/>
          <w:jc w:val="center"/>
        </w:trPr>
        <w:tc>
          <w:tcPr>
            <w:tcW w:w="9464" w:type="dxa"/>
            <w:gridSpan w:val="2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931681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Legend.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Awak. Time: Awakening time; TMT: Trail Making Test; W-C naming: Word and Color task of the Stroop test; Stroop Interf.: Stroop Interference; DS: Digit Span; RAVLT: Rey Auditory Verbal Learning Test.</w:t>
            </w:r>
          </w:p>
        </w:tc>
      </w:tr>
      <w:tr w:rsidR="002276D9" w:rsidRPr="00DD1B81" w:rsidTr="00DD1B81">
        <w:trPr>
          <w:trHeight w:val="300"/>
          <w:jc w:val="center"/>
        </w:trPr>
        <w:tc>
          <w:tcPr>
            <w:tcW w:w="9606" w:type="dxa"/>
            <w:gridSpan w:val="2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72710F" w:rsidP="007271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Table S2.</w:t>
            </w:r>
            <w:r w:rsidR="002276D9"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Correlation analyses for the selected covariates, CAR</w:t>
            </w:r>
            <w:r w:rsidR="00756D5F">
              <w:rPr>
                <w:rFonts w:eastAsia="Times New Roman"/>
                <w:color w:val="000000"/>
                <w:sz w:val="20"/>
                <w:szCs w:val="20"/>
                <w:lang w:val="en-US"/>
              </w:rPr>
              <w:t>,</w:t>
            </w:r>
            <w:r w:rsidR="002276D9"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and cognitive outcomes for the 2 Day-CAR subgroup.</w:t>
            </w:r>
          </w:p>
        </w:tc>
      </w:tr>
      <w:tr w:rsidR="002276D9" w:rsidRPr="0072710F" w:rsidTr="00DD1B81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BMI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Mean cortisol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Change cortisol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Mean sleep time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Awak. time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Sex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Physical activity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CAR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0.063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-0.045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0.047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0.438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0.163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0.703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0.289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0.610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0.784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3234CF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TMT-</w:t>
            </w:r>
            <w:r w:rsidR="002276D9"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0.508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-0.293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-0.034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0.185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-0.128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-0.047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0.163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0.075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0.874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0.839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0.983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0.266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0.444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0.778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0.329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3234CF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TMT-</w:t>
            </w:r>
            <w:r w:rsidR="002276D9"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0.548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-0.187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0.067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-0.156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0.130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0.120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0.199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0.260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0.687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0.532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0.350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0.438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0.336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0.472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0.231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W-C naming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-0.408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0.330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-0.125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-0.296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0.283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-0.101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-0.087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-0.063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0.453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0.086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0.548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0.981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0.605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0.707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Stroop Interf.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0.198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-0.058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0.086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-0.256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-0.024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-0.290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-0.258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-0.160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0.234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0.731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0.120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0.886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0.078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0.816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0.338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DS-Forward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-0.266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0.317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0.224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0.114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-0.024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0.047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-0.473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-0.008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0.101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0.049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0.170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0.974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0.489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0.884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0.777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0.960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DS-Backward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0.441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-0.305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0.065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-0.248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-0.081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-0.284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-0.316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0.528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0.459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0.059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0.692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0.128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0.623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0.050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RAVLT Learning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-0.275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-0.054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-0.225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-0.143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-0.189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0.068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0.203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-0.386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0.090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0.578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0.744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0.168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0.385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0.248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0.214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0.015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RAVLT Immed.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-0.193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-0.077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-0.104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-0.174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-0.041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-0.213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-0.114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0.267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-0.231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0.239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0.643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0.529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0.806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0.193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0.489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0.101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0.156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RAVLT Learning</w:t>
            </w:r>
          </w:p>
        </w:tc>
        <w:tc>
          <w:tcPr>
            <w:tcW w:w="397" w:type="dxa"/>
            <w:gridSpan w:val="2"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-0.017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0.046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-0.188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-0.170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-0.095</w:t>
            </w:r>
          </w:p>
        </w:tc>
        <w:tc>
          <w:tcPr>
            <w:tcW w:w="854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0.155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-0.005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-0.011</w:t>
            </w:r>
          </w:p>
        </w:tc>
      </w:tr>
      <w:tr w:rsidR="002276D9" w:rsidRPr="00B5113F" w:rsidTr="00DD1B81">
        <w:trPr>
          <w:trHeight w:val="300"/>
          <w:jc w:val="center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:rsidR="002276D9" w:rsidRPr="00B5113F" w:rsidRDefault="002276D9" w:rsidP="0072710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0.919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0.779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0.483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0.253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0.301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0.567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0.347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0.974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76D9" w:rsidRPr="00B5113F" w:rsidRDefault="002276D9" w:rsidP="0072710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0.949</w:t>
            </w:r>
          </w:p>
        </w:tc>
      </w:tr>
      <w:tr w:rsidR="002276D9" w:rsidRPr="00DD1B81" w:rsidTr="00DD1B81">
        <w:trPr>
          <w:trHeight w:val="300"/>
          <w:jc w:val="center"/>
        </w:trPr>
        <w:tc>
          <w:tcPr>
            <w:tcW w:w="9606" w:type="dxa"/>
            <w:gridSpan w:val="2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6D9" w:rsidRPr="00B5113F" w:rsidRDefault="002276D9" w:rsidP="0072710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Legend. </w:t>
            </w:r>
            <w:r w:rsidRPr="00B5113F">
              <w:rPr>
                <w:rFonts w:eastAsia="Times New Roman"/>
                <w:color w:val="000000"/>
                <w:sz w:val="20"/>
                <w:szCs w:val="20"/>
                <w:lang w:val="en-US"/>
              </w:rPr>
              <w:t>Awak. Time: Awakening time; TMT: Trail Making Test; W-C naming: Word and Color task of the Stroop test; Stroop Interf.: Stroop Interference; DS: Digit Span; RAVLT: Rey Auditory Verbal Learning Test.</w:t>
            </w:r>
          </w:p>
        </w:tc>
      </w:tr>
    </w:tbl>
    <w:p w:rsidR="002276D9" w:rsidRDefault="002276D9" w:rsidP="002276D9">
      <w:pPr>
        <w:autoSpaceDE w:val="0"/>
        <w:autoSpaceDN w:val="0"/>
        <w:adjustRightInd w:val="0"/>
        <w:spacing w:line="480" w:lineRule="auto"/>
        <w:rPr>
          <w:sz w:val="23"/>
          <w:szCs w:val="23"/>
          <w:lang w:val="en-US"/>
        </w:rPr>
      </w:pPr>
    </w:p>
    <w:p w:rsidR="00F37842" w:rsidRPr="004C6FD5" w:rsidRDefault="00F37842" w:rsidP="004C6FD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b/>
          <w:sz w:val="24"/>
          <w:szCs w:val="24"/>
          <w:lang w:val="en-US"/>
        </w:rPr>
      </w:pPr>
      <w:r w:rsidRPr="004C6FD5">
        <w:rPr>
          <w:b/>
          <w:sz w:val="24"/>
          <w:szCs w:val="24"/>
          <w:lang w:val="en-US"/>
        </w:rPr>
        <w:t>Differences in cortisol levels across days for the 2 Day-CAR and 1 Day-CAR subgroups</w:t>
      </w:r>
    </w:p>
    <w:p w:rsidR="00F37842" w:rsidRPr="00293EBD" w:rsidRDefault="00F37842" w:rsidP="004C6FD5">
      <w:pPr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293EBD">
        <w:rPr>
          <w:sz w:val="23"/>
          <w:szCs w:val="23"/>
          <w:lang w:val="en-US"/>
        </w:rPr>
        <w:t>An ANOVA for repeated measures with Day and Time (cortisol awakening; +30min and +45min) as a within-subject factor was used to investigate differences in cortisol levels across days between the 2 Day-CAR and 1</w:t>
      </w:r>
      <w:r w:rsidRPr="00293EBD">
        <w:rPr>
          <w:sz w:val="23"/>
          <w:szCs w:val="23"/>
          <w:vertAlign w:val="superscript"/>
          <w:lang w:val="en-US"/>
        </w:rPr>
        <w:t xml:space="preserve"> </w:t>
      </w:r>
      <w:r w:rsidRPr="00293EBD">
        <w:rPr>
          <w:sz w:val="23"/>
          <w:szCs w:val="23"/>
          <w:lang w:val="en-US"/>
        </w:rPr>
        <w:t>Day-CAR subgroups. Greenhouse-Geisser was used because the requirement of sphericity for the ANOVA for repeated measures was violated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 xml:space="preserve">&lt;0.001). These analyses showed that the factor Subgroup </w:t>
      </w:r>
      <w:r w:rsidR="00FB433A" w:rsidRPr="00293EBD">
        <w:rPr>
          <w:sz w:val="23"/>
          <w:szCs w:val="23"/>
          <w:lang w:val="en-US"/>
        </w:rPr>
        <w:t>(</w:t>
      </w:r>
      <w:r w:rsidR="00FB433A" w:rsidRPr="00FB433A">
        <w:rPr>
          <w:i/>
          <w:sz w:val="23"/>
          <w:szCs w:val="23"/>
          <w:lang w:val="en-US"/>
        </w:rPr>
        <w:t>F</w:t>
      </w:r>
      <w:r w:rsidR="00FB433A" w:rsidRPr="00FB433A">
        <w:rPr>
          <w:sz w:val="23"/>
          <w:szCs w:val="23"/>
          <w:lang w:val="en-US"/>
        </w:rPr>
        <w:t>(</w:t>
      </w:r>
      <w:r w:rsidR="00FB433A">
        <w:rPr>
          <w:sz w:val="23"/>
          <w:szCs w:val="23"/>
          <w:lang w:val="en-US"/>
        </w:rPr>
        <w:t>1,52</w:t>
      </w:r>
      <w:r w:rsidR="00FB433A" w:rsidRPr="00FB433A">
        <w:rPr>
          <w:sz w:val="23"/>
          <w:szCs w:val="23"/>
          <w:lang w:val="en-US"/>
        </w:rPr>
        <w:t>)</w:t>
      </w:r>
      <w:r w:rsidR="00FB433A">
        <w:rPr>
          <w:sz w:val="23"/>
          <w:szCs w:val="23"/>
          <w:lang w:val="en-US"/>
        </w:rPr>
        <w:t>=0.220</w:t>
      </w:r>
      <w:r w:rsidR="00FB433A">
        <w:rPr>
          <w:i/>
          <w:sz w:val="23"/>
          <w:szCs w:val="23"/>
          <w:lang w:val="en-US"/>
        </w:rPr>
        <w:t xml:space="preserve">, </w:t>
      </w:r>
      <w:r w:rsidR="00FB433A" w:rsidRPr="00293EBD">
        <w:rPr>
          <w:i/>
          <w:sz w:val="23"/>
          <w:szCs w:val="23"/>
          <w:lang w:val="en-US"/>
        </w:rPr>
        <w:t>p</w:t>
      </w:r>
      <w:r w:rsidR="00FB433A">
        <w:rPr>
          <w:i/>
          <w:sz w:val="23"/>
          <w:szCs w:val="23"/>
          <w:lang w:val="en-US"/>
        </w:rPr>
        <w:t>=</w:t>
      </w:r>
      <w:r w:rsidR="00FB433A" w:rsidRPr="00293EBD">
        <w:rPr>
          <w:sz w:val="23"/>
          <w:szCs w:val="23"/>
          <w:lang w:val="en-US"/>
        </w:rPr>
        <w:t>0.</w:t>
      </w:r>
      <w:r w:rsidR="00FB433A" w:rsidRPr="00F266EB">
        <w:rPr>
          <w:sz w:val="23"/>
          <w:szCs w:val="23"/>
          <w:lang w:val="en-US"/>
        </w:rPr>
        <w:t xml:space="preserve">641, </w:t>
      </w:r>
      <w:r w:rsidR="00FB433A" w:rsidRPr="00F266EB">
        <w:rPr>
          <w:rFonts w:cs="Arial"/>
          <w:i/>
        </w:rPr>
        <w:t>η</w:t>
      </w:r>
      <w:r w:rsidR="00FB433A" w:rsidRPr="00F266EB">
        <w:rPr>
          <w:rFonts w:cs="Arial"/>
          <w:i/>
          <w:vertAlign w:val="superscript"/>
          <w:lang w:val="en-US"/>
        </w:rPr>
        <w:t>2</w:t>
      </w:r>
      <w:r w:rsidR="00FB433A" w:rsidRPr="00F266EB">
        <w:rPr>
          <w:sz w:val="23"/>
          <w:szCs w:val="23"/>
          <w:lang w:val="en-US"/>
        </w:rPr>
        <w:t xml:space="preserve">=0.004) </w:t>
      </w:r>
      <w:r w:rsidRPr="00F266EB">
        <w:rPr>
          <w:sz w:val="23"/>
          <w:szCs w:val="23"/>
          <w:lang w:val="en-US"/>
        </w:rPr>
        <w:t xml:space="preserve">and the interaction between Day and Subgroups </w:t>
      </w:r>
      <w:r w:rsidR="00FB433A" w:rsidRPr="00F266EB">
        <w:rPr>
          <w:sz w:val="23"/>
          <w:szCs w:val="23"/>
          <w:lang w:val="en-US"/>
        </w:rPr>
        <w:t>(</w:t>
      </w:r>
      <w:r w:rsidR="00FB433A" w:rsidRPr="00F266EB">
        <w:rPr>
          <w:i/>
          <w:sz w:val="23"/>
          <w:szCs w:val="23"/>
          <w:lang w:val="en-US"/>
        </w:rPr>
        <w:t>F</w:t>
      </w:r>
      <w:r w:rsidR="00FB433A" w:rsidRPr="00F266EB">
        <w:rPr>
          <w:sz w:val="23"/>
          <w:szCs w:val="23"/>
          <w:lang w:val="en-US"/>
        </w:rPr>
        <w:t>(1,52)=0.181</w:t>
      </w:r>
      <w:r w:rsidR="00FB433A" w:rsidRPr="00F266EB">
        <w:rPr>
          <w:i/>
          <w:sz w:val="23"/>
          <w:szCs w:val="23"/>
          <w:lang w:val="en-US"/>
        </w:rPr>
        <w:t>, p=</w:t>
      </w:r>
      <w:r w:rsidR="00FB433A" w:rsidRPr="00F266EB">
        <w:rPr>
          <w:sz w:val="23"/>
          <w:szCs w:val="23"/>
          <w:lang w:val="en-US"/>
        </w:rPr>
        <w:t xml:space="preserve">0.184, </w:t>
      </w:r>
      <w:r w:rsidR="00FB433A" w:rsidRPr="00F266EB">
        <w:rPr>
          <w:rFonts w:cs="Arial"/>
          <w:i/>
        </w:rPr>
        <w:t>η</w:t>
      </w:r>
      <w:r w:rsidR="00FB433A" w:rsidRPr="00F266EB">
        <w:rPr>
          <w:rFonts w:cs="Arial"/>
          <w:i/>
          <w:vertAlign w:val="superscript"/>
          <w:lang w:val="en-US"/>
        </w:rPr>
        <w:t>2</w:t>
      </w:r>
      <w:r w:rsidR="00FB433A" w:rsidRPr="00F266EB">
        <w:rPr>
          <w:sz w:val="23"/>
          <w:szCs w:val="23"/>
          <w:lang w:val="en-US"/>
        </w:rPr>
        <w:t xml:space="preserve">=0.034) </w:t>
      </w:r>
      <w:r w:rsidRPr="00F266EB">
        <w:rPr>
          <w:sz w:val="23"/>
          <w:szCs w:val="23"/>
          <w:lang w:val="en-US"/>
        </w:rPr>
        <w:t>were not significant. The factor Time (</w:t>
      </w:r>
      <w:r w:rsidRPr="00F266EB">
        <w:rPr>
          <w:i/>
          <w:sz w:val="23"/>
          <w:szCs w:val="23"/>
          <w:lang w:val="en-US"/>
        </w:rPr>
        <w:t>F</w:t>
      </w:r>
      <w:r w:rsidRPr="00F266EB">
        <w:rPr>
          <w:sz w:val="23"/>
          <w:szCs w:val="23"/>
          <w:lang w:val="en-US"/>
        </w:rPr>
        <w:t xml:space="preserve">(1.67,76.16)=90.58,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>&lt;0.001</w:t>
      </w:r>
      <w:r w:rsidR="00FB433A" w:rsidRPr="00F266EB">
        <w:rPr>
          <w:sz w:val="23"/>
          <w:szCs w:val="23"/>
          <w:lang w:val="en-US"/>
        </w:rPr>
        <w:t xml:space="preserve">, </w:t>
      </w:r>
      <w:r w:rsidR="00FB433A" w:rsidRPr="00F266EB">
        <w:rPr>
          <w:rFonts w:cs="Arial"/>
          <w:i/>
        </w:rPr>
        <w:t>η</w:t>
      </w:r>
      <w:r w:rsidR="00FB433A" w:rsidRPr="00F266EB">
        <w:rPr>
          <w:rFonts w:cs="Arial"/>
          <w:i/>
          <w:vertAlign w:val="superscript"/>
          <w:lang w:val="en-US"/>
        </w:rPr>
        <w:t>2</w:t>
      </w:r>
      <w:r w:rsidR="00FB433A" w:rsidRPr="00F266EB">
        <w:rPr>
          <w:sz w:val="23"/>
          <w:szCs w:val="23"/>
          <w:lang w:val="en-US"/>
        </w:rPr>
        <w:t>=0.635</w:t>
      </w:r>
      <w:r w:rsidRPr="00F266EB">
        <w:rPr>
          <w:sz w:val="23"/>
          <w:szCs w:val="23"/>
          <w:lang w:val="en-US"/>
        </w:rPr>
        <w:t>) and the interaction between Time, Day and Subgroup were significant (</w:t>
      </w:r>
      <w:r w:rsidRPr="00F266EB">
        <w:rPr>
          <w:i/>
          <w:sz w:val="23"/>
          <w:szCs w:val="23"/>
          <w:lang w:val="en-US"/>
        </w:rPr>
        <w:t>F</w:t>
      </w:r>
      <w:r w:rsidRPr="00F266EB">
        <w:rPr>
          <w:sz w:val="23"/>
          <w:szCs w:val="23"/>
          <w:lang w:val="en-US"/>
        </w:rPr>
        <w:t xml:space="preserve">(1.46, 76.16)=16.37,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>&lt;0.001</w:t>
      </w:r>
      <w:r w:rsidR="00401976" w:rsidRPr="00F266EB">
        <w:rPr>
          <w:sz w:val="23"/>
          <w:szCs w:val="23"/>
          <w:lang w:val="en-US"/>
        </w:rPr>
        <w:t xml:space="preserve">, </w:t>
      </w:r>
      <w:r w:rsidR="00401976" w:rsidRPr="00F266EB">
        <w:rPr>
          <w:rFonts w:cs="Arial"/>
          <w:i/>
        </w:rPr>
        <w:t>η</w:t>
      </w:r>
      <w:r w:rsidR="00401976" w:rsidRPr="00F266EB">
        <w:rPr>
          <w:rFonts w:cs="Arial"/>
          <w:i/>
          <w:vertAlign w:val="superscript"/>
          <w:lang w:val="en-US"/>
        </w:rPr>
        <w:t>2</w:t>
      </w:r>
      <w:r w:rsidR="00401976" w:rsidRPr="00F266EB">
        <w:rPr>
          <w:sz w:val="23"/>
          <w:szCs w:val="23"/>
          <w:lang w:val="en-US"/>
        </w:rPr>
        <w:t>=0.425</w:t>
      </w:r>
      <w:r w:rsidRPr="00F266EB">
        <w:rPr>
          <w:sz w:val="23"/>
          <w:szCs w:val="23"/>
          <w:lang w:val="en-US"/>
        </w:rPr>
        <w:t xml:space="preserve">). </w:t>
      </w:r>
      <w:r w:rsidRPr="00F266EB">
        <w:rPr>
          <w:i/>
          <w:sz w:val="23"/>
          <w:szCs w:val="23"/>
          <w:lang w:val="en-US"/>
        </w:rPr>
        <w:t xml:space="preserve">Post </w:t>
      </w:r>
      <w:r w:rsidRPr="00293EBD">
        <w:rPr>
          <w:i/>
          <w:sz w:val="23"/>
          <w:szCs w:val="23"/>
          <w:lang w:val="en-US"/>
        </w:rPr>
        <w:t xml:space="preserve">Hoc </w:t>
      </w:r>
      <w:r>
        <w:rPr>
          <w:sz w:val="23"/>
          <w:szCs w:val="23"/>
          <w:lang w:val="en-US"/>
        </w:rPr>
        <w:t>analyses</w:t>
      </w:r>
      <w:r w:rsidRPr="00293EBD">
        <w:rPr>
          <w:sz w:val="23"/>
          <w:szCs w:val="23"/>
          <w:lang w:val="en-US"/>
        </w:rPr>
        <w:t xml:space="preserve"> indicated that the 2 Day-CAR subgroup showed no significant differences in cortisol awakening, +30min and +45min </w:t>
      </w:r>
      <w:r w:rsidRPr="00293EBD">
        <w:rPr>
          <w:sz w:val="23"/>
          <w:szCs w:val="23"/>
          <w:lang w:val="en-US"/>
        </w:rPr>
        <w:lastRenderedPageBreak/>
        <w:t>across days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&gt;0.475), and that cortisol levels increase from awakening to +30min on both days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&lt;0.001). For the 1 Day-CAR subgroup, on the day with negative CAR, cortisol levels were higher at awakening than on the day with positive CAR, and lower at +30min and +45min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&lt;0.002). Cortisol levels increase from awakening to +30min on the day with positive CAR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&lt;0.001), but cortisol levels decrease from awakening to +30min and +45min on the day with negative CAR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&lt;0.029).</w:t>
      </w:r>
    </w:p>
    <w:p w:rsidR="00F37842" w:rsidRPr="00F37842" w:rsidRDefault="00F37842" w:rsidP="004C6FD5">
      <w:pPr>
        <w:spacing w:line="360" w:lineRule="auto"/>
        <w:contextualSpacing/>
        <w:rPr>
          <w:sz w:val="23"/>
          <w:szCs w:val="23"/>
          <w:lang w:val="en-US"/>
        </w:rPr>
      </w:pPr>
    </w:p>
    <w:p w:rsidR="004C6FD5" w:rsidRPr="00DD1B81" w:rsidRDefault="0072710F" w:rsidP="00DD1B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Results of the analyses repeated for the 2 Day-CAR su</w:t>
      </w:r>
      <w:r w:rsidR="004C6FD5">
        <w:rPr>
          <w:b/>
          <w:sz w:val="24"/>
          <w:szCs w:val="24"/>
          <w:lang w:val="en-US"/>
        </w:rPr>
        <w:t>bgroup.</w:t>
      </w:r>
    </w:p>
    <w:p w:rsidR="00F360D1" w:rsidRPr="00F266EB" w:rsidRDefault="00F360D1" w:rsidP="004C6FD5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  <w:lang w:val="en-US"/>
        </w:rPr>
      </w:pPr>
      <w:r w:rsidRPr="00F266EB">
        <w:rPr>
          <w:b/>
          <w:i/>
          <w:sz w:val="24"/>
          <w:szCs w:val="24"/>
          <w:lang w:val="en-US"/>
        </w:rPr>
        <w:t>Subjects’ characteristics and differences in cortisol levels and cognitive performance.</w:t>
      </w:r>
    </w:p>
    <w:p w:rsidR="00F360D1" w:rsidRPr="00F266EB" w:rsidRDefault="00F360D1" w:rsidP="004C6FD5">
      <w:pPr>
        <w:spacing w:line="360" w:lineRule="auto"/>
        <w:rPr>
          <w:sz w:val="23"/>
          <w:szCs w:val="23"/>
          <w:lang w:val="en-US"/>
        </w:rPr>
      </w:pPr>
      <w:r w:rsidRPr="00F266EB">
        <w:rPr>
          <w:sz w:val="23"/>
          <w:szCs w:val="23"/>
          <w:lang w:val="en-US"/>
        </w:rPr>
        <w:t xml:space="preserve">If the analyses are performed with the 2 Day-CAR subgroup </w:t>
      </w:r>
      <w:r w:rsidR="00756D5F">
        <w:rPr>
          <w:sz w:val="23"/>
          <w:szCs w:val="23"/>
          <w:lang w:val="en-US"/>
        </w:rPr>
        <w:t>alone</w:t>
      </w:r>
      <w:r w:rsidRPr="00F266EB">
        <w:rPr>
          <w:sz w:val="23"/>
          <w:szCs w:val="23"/>
          <w:lang w:val="en-US"/>
        </w:rPr>
        <w:t>, the differences between hypertensives and normotensives on SBP (</w:t>
      </w:r>
      <w:r w:rsidR="00705313" w:rsidRPr="00F266EB">
        <w:rPr>
          <w:i/>
          <w:sz w:val="23"/>
          <w:szCs w:val="23"/>
          <w:lang w:val="en-US"/>
        </w:rPr>
        <w:t>t</w:t>
      </w:r>
      <w:r w:rsidR="00705313" w:rsidRPr="00F266EB">
        <w:rPr>
          <w:sz w:val="23"/>
          <w:szCs w:val="23"/>
          <w:lang w:val="en-US"/>
        </w:rPr>
        <w:t>(37)=4.439,</w:t>
      </w:r>
      <w:r w:rsidR="00401976" w:rsidRPr="00F266EB">
        <w:rPr>
          <w:sz w:val="23"/>
          <w:szCs w:val="23"/>
          <w:lang w:val="en-US"/>
        </w:rPr>
        <w:t xml:space="preserve">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>&lt;0.001</w:t>
      </w:r>
      <w:r w:rsidR="00401976" w:rsidRPr="00F266EB">
        <w:rPr>
          <w:sz w:val="23"/>
          <w:szCs w:val="23"/>
          <w:lang w:val="en-US"/>
        </w:rPr>
        <w:t xml:space="preserve">, </w:t>
      </w:r>
      <w:r w:rsidR="00401976" w:rsidRPr="00F266EB">
        <w:rPr>
          <w:i/>
          <w:sz w:val="23"/>
          <w:szCs w:val="23"/>
          <w:lang w:val="en-US"/>
        </w:rPr>
        <w:t>d</w:t>
      </w:r>
      <w:r w:rsidR="00401976" w:rsidRPr="00F266EB">
        <w:rPr>
          <w:sz w:val="23"/>
          <w:szCs w:val="23"/>
          <w:lang w:val="en-US"/>
        </w:rPr>
        <w:t>=1.433</w:t>
      </w:r>
      <w:r w:rsidRPr="00F266EB">
        <w:rPr>
          <w:sz w:val="23"/>
          <w:szCs w:val="23"/>
          <w:lang w:val="en-US"/>
        </w:rPr>
        <w:t>), DBP (</w:t>
      </w:r>
      <w:r w:rsidR="00705313" w:rsidRPr="00F266EB">
        <w:rPr>
          <w:i/>
          <w:sz w:val="23"/>
          <w:szCs w:val="23"/>
          <w:lang w:val="en-US"/>
        </w:rPr>
        <w:t>t</w:t>
      </w:r>
      <w:r w:rsidR="00705313" w:rsidRPr="00F266EB">
        <w:rPr>
          <w:sz w:val="23"/>
          <w:szCs w:val="23"/>
          <w:lang w:val="en-US"/>
        </w:rPr>
        <w:t xml:space="preserve">(37)=3.006,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>=0.006</w:t>
      </w:r>
      <w:r w:rsidR="00401976" w:rsidRPr="00F266EB">
        <w:rPr>
          <w:sz w:val="23"/>
          <w:szCs w:val="23"/>
          <w:lang w:val="en-US"/>
        </w:rPr>
        <w:t xml:space="preserve">, </w:t>
      </w:r>
      <w:r w:rsidR="00401976" w:rsidRPr="00F266EB">
        <w:rPr>
          <w:i/>
          <w:sz w:val="23"/>
          <w:szCs w:val="23"/>
          <w:lang w:val="en-US"/>
        </w:rPr>
        <w:t>d</w:t>
      </w:r>
      <w:r w:rsidR="00401976" w:rsidRPr="00F266EB">
        <w:rPr>
          <w:sz w:val="23"/>
          <w:szCs w:val="23"/>
          <w:lang w:val="en-US"/>
        </w:rPr>
        <w:t>=0.971</w:t>
      </w:r>
      <w:r w:rsidRPr="00F266EB">
        <w:rPr>
          <w:sz w:val="23"/>
          <w:szCs w:val="23"/>
          <w:lang w:val="en-US"/>
        </w:rPr>
        <w:t>), time of awakening (</w:t>
      </w:r>
      <w:r w:rsidR="00705313" w:rsidRPr="00F266EB">
        <w:rPr>
          <w:i/>
          <w:sz w:val="23"/>
          <w:szCs w:val="23"/>
          <w:lang w:val="en-US"/>
        </w:rPr>
        <w:t>t</w:t>
      </w:r>
      <w:r w:rsidR="00705313" w:rsidRPr="00F266EB">
        <w:rPr>
          <w:sz w:val="23"/>
          <w:szCs w:val="23"/>
          <w:lang w:val="en-US"/>
        </w:rPr>
        <w:t xml:space="preserve">(37)=-2.365,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>=0.023</w:t>
      </w:r>
      <w:r w:rsidR="00401976" w:rsidRPr="00F266EB">
        <w:rPr>
          <w:sz w:val="23"/>
          <w:szCs w:val="23"/>
          <w:lang w:val="en-US"/>
        </w:rPr>
        <w:t xml:space="preserve">, </w:t>
      </w:r>
      <w:r w:rsidR="00401976" w:rsidRPr="00F266EB">
        <w:rPr>
          <w:i/>
          <w:sz w:val="23"/>
          <w:szCs w:val="23"/>
          <w:lang w:val="en-US"/>
        </w:rPr>
        <w:t>d</w:t>
      </w:r>
      <w:r w:rsidR="00401976" w:rsidRPr="00F266EB">
        <w:rPr>
          <w:sz w:val="23"/>
          <w:szCs w:val="23"/>
          <w:lang w:val="en-US"/>
        </w:rPr>
        <w:t>=0.763</w:t>
      </w:r>
      <w:r w:rsidRPr="00F266EB">
        <w:rPr>
          <w:sz w:val="23"/>
          <w:szCs w:val="23"/>
          <w:lang w:val="en-US"/>
        </w:rPr>
        <w:t>), AUCg (</w:t>
      </w:r>
      <w:r w:rsidR="00705313" w:rsidRPr="00F266EB">
        <w:rPr>
          <w:i/>
          <w:sz w:val="23"/>
          <w:szCs w:val="23"/>
          <w:lang w:val="en-US"/>
        </w:rPr>
        <w:t>t</w:t>
      </w:r>
      <w:r w:rsidR="00705313" w:rsidRPr="00F266EB">
        <w:rPr>
          <w:sz w:val="23"/>
          <w:szCs w:val="23"/>
          <w:lang w:val="en-US"/>
        </w:rPr>
        <w:t xml:space="preserve">(37)=-2.363,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>=0.023</w:t>
      </w:r>
      <w:r w:rsidR="00401976" w:rsidRPr="00F266EB">
        <w:rPr>
          <w:sz w:val="23"/>
          <w:szCs w:val="23"/>
          <w:lang w:val="en-US"/>
        </w:rPr>
        <w:t xml:space="preserve">, </w:t>
      </w:r>
      <w:r w:rsidR="00401976" w:rsidRPr="00F266EB">
        <w:rPr>
          <w:i/>
          <w:sz w:val="23"/>
          <w:szCs w:val="23"/>
          <w:lang w:val="en-US"/>
        </w:rPr>
        <w:t>d</w:t>
      </w:r>
      <w:r w:rsidR="00401976" w:rsidRPr="00F266EB">
        <w:rPr>
          <w:sz w:val="23"/>
          <w:szCs w:val="23"/>
          <w:lang w:val="en-US"/>
        </w:rPr>
        <w:t>=0.763</w:t>
      </w:r>
      <w:r w:rsidRPr="00F266EB">
        <w:rPr>
          <w:sz w:val="23"/>
          <w:szCs w:val="23"/>
          <w:lang w:val="en-US"/>
        </w:rPr>
        <w:t>) and cortisol awakening (</w:t>
      </w:r>
      <w:r w:rsidR="00705313" w:rsidRPr="00F266EB">
        <w:rPr>
          <w:i/>
          <w:sz w:val="23"/>
          <w:szCs w:val="23"/>
          <w:lang w:val="en-US"/>
        </w:rPr>
        <w:t>t</w:t>
      </w:r>
      <w:r w:rsidR="00705313" w:rsidRPr="00F266EB">
        <w:rPr>
          <w:sz w:val="23"/>
          <w:szCs w:val="23"/>
          <w:lang w:val="en-US"/>
        </w:rPr>
        <w:t xml:space="preserve">(37)=-2.717,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>=0.010</w:t>
      </w:r>
      <w:r w:rsidR="00401976" w:rsidRPr="00F266EB">
        <w:rPr>
          <w:sz w:val="23"/>
          <w:szCs w:val="23"/>
          <w:lang w:val="en-US"/>
        </w:rPr>
        <w:t xml:space="preserve">, </w:t>
      </w:r>
      <w:r w:rsidR="00401976" w:rsidRPr="00F266EB">
        <w:rPr>
          <w:i/>
          <w:sz w:val="23"/>
          <w:szCs w:val="23"/>
          <w:lang w:val="en-US"/>
        </w:rPr>
        <w:t>d</w:t>
      </w:r>
      <w:r w:rsidR="00401976" w:rsidRPr="00F266EB">
        <w:rPr>
          <w:sz w:val="23"/>
          <w:szCs w:val="23"/>
          <w:lang w:val="en-US"/>
        </w:rPr>
        <w:t>=0.877</w:t>
      </w:r>
      <w:r w:rsidRPr="00F266EB">
        <w:rPr>
          <w:sz w:val="23"/>
          <w:szCs w:val="23"/>
          <w:lang w:val="en-US"/>
        </w:rPr>
        <w:t>) are still observed.</w:t>
      </w:r>
    </w:p>
    <w:p w:rsidR="004C6FD5" w:rsidRDefault="004C6FD5" w:rsidP="004C6FD5">
      <w:pPr>
        <w:spacing w:after="0" w:line="360" w:lineRule="auto"/>
        <w:rPr>
          <w:sz w:val="23"/>
          <w:szCs w:val="23"/>
          <w:lang w:val="en-US"/>
        </w:rPr>
      </w:pPr>
    </w:p>
    <w:p w:rsidR="00F360D1" w:rsidRPr="007E6B70" w:rsidRDefault="00F360D1" w:rsidP="004C6FD5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  <w:lang w:val="en-US"/>
        </w:rPr>
      </w:pPr>
      <w:r w:rsidRPr="007E6B70">
        <w:rPr>
          <w:b/>
          <w:i/>
          <w:sz w:val="24"/>
          <w:szCs w:val="24"/>
          <w:lang w:val="en-US"/>
        </w:rPr>
        <w:t>Relationships among cortisol levels, time of awakening, mean sleep time</w:t>
      </w:r>
      <w:r w:rsidR="00756D5F">
        <w:rPr>
          <w:b/>
          <w:i/>
          <w:sz w:val="24"/>
          <w:szCs w:val="24"/>
          <w:lang w:val="en-US"/>
        </w:rPr>
        <w:t>,</w:t>
      </w:r>
      <w:r w:rsidRPr="007E6B70">
        <w:rPr>
          <w:b/>
          <w:i/>
          <w:sz w:val="24"/>
          <w:szCs w:val="24"/>
          <w:lang w:val="en-US"/>
        </w:rPr>
        <w:t xml:space="preserve"> and time receiving treatment for hypertension.</w:t>
      </w:r>
    </w:p>
    <w:p w:rsidR="00F360D1" w:rsidRPr="00293EBD" w:rsidRDefault="00F360D1" w:rsidP="004C6FD5">
      <w:pPr>
        <w:spacing w:line="360" w:lineRule="auto"/>
        <w:rPr>
          <w:sz w:val="23"/>
          <w:szCs w:val="23"/>
          <w:lang w:val="en-US"/>
        </w:rPr>
      </w:pPr>
      <w:r w:rsidRPr="00293EBD">
        <w:rPr>
          <w:sz w:val="23"/>
          <w:szCs w:val="23"/>
          <w:lang w:val="en-US"/>
        </w:rPr>
        <w:t xml:space="preserve">In the hypertensive group, </w:t>
      </w:r>
      <w:r>
        <w:rPr>
          <w:sz w:val="23"/>
          <w:szCs w:val="23"/>
          <w:lang w:val="en-US"/>
        </w:rPr>
        <w:t>i</w:t>
      </w:r>
      <w:r w:rsidRPr="00293EBD">
        <w:rPr>
          <w:sz w:val="23"/>
          <w:szCs w:val="23"/>
          <w:lang w:val="en-US"/>
        </w:rPr>
        <w:t xml:space="preserve">f the analyses are performed with the 2 Day-CAR subgroup </w:t>
      </w:r>
      <w:r w:rsidR="00756D5F">
        <w:rPr>
          <w:sz w:val="23"/>
          <w:szCs w:val="23"/>
          <w:lang w:val="en-US"/>
        </w:rPr>
        <w:t>alone</w:t>
      </w:r>
      <w:r w:rsidRPr="00293EBD">
        <w:rPr>
          <w:sz w:val="23"/>
          <w:szCs w:val="23"/>
          <w:lang w:val="en-US"/>
        </w:rPr>
        <w:t xml:space="preserve">, associations between </w:t>
      </w:r>
      <w:r w:rsidR="00756D5F">
        <w:rPr>
          <w:sz w:val="23"/>
          <w:szCs w:val="23"/>
          <w:lang w:val="en-US"/>
        </w:rPr>
        <w:t xml:space="preserve">night </w:t>
      </w:r>
      <w:r w:rsidRPr="00293EBD">
        <w:rPr>
          <w:sz w:val="23"/>
          <w:szCs w:val="23"/>
          <w:lang w:val="en-US"/>
        </w:rPr>
        <w:t>cortisol and less mean sleep time (</w:t>
      </w:r>
      <w:r w:rsidRPr="00293EBD">
        <w:rPr>
          <w:i/>
          <w:sz w:val="23"/>
          <w:szCs w:val="23"/>
          <w:lang w:val="en-US"/>
        </w:rPr>
        <w:t>r</w:t>
      </w:r>
      <w:r w:rsidRPr="00293EBD">
        <w:rPr>
          <w:sz w:val="23"/>
          <w:szCs w:val="23"/>
          <w:lang w:val="en-US"/>
        </w:rPr>
        <w:t xml:space="preserve">=-0.51, 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=0.040), and between cortisol awakening and AUCg (</w:t>
      </w:r>
      <w:r w:rsidRPr="00293EBD">
        <w:rPr>
          <w:i/>
          <w:sz w:val="23"/>
          <w:szCs w:val="23"/>
          <w:lang w:val="en-US"/>
        </w:rPr>
        <w:t>r</w:t>
      </w:r>
      <w:r w:rsidRPr="00293EBD">
        <w:rPr>
          <w:sz w:val="23"/>
          <w:szCs w:val="23"/>
          <w:lang w:val="en-US"/>
        </w:rPr>
        <w:t xml:space="preserve">=0.88, 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&lt;0.002)</w:t>
      </w:r>
      <w:r w:rsidR="004A1348">
        <w:rPr>
          <w:sz w:val="23"/>
          <w:szCs w:val="23"/>
          <w:lang w:val="en-US"/>
        </w:rPr>
        <w:t>,</w:t>
      </w:r>
      <w:r w:rsidRPr="00293EBD">
        <w:rPr>
          <w:sz w:val="23"/>
          <w:szCs w:val="23"/>
          <w:lang w:val="en-US"/>
        </w:rPr>
        <w:t xml:space="preserve"> are still observed. Moreover, the participants taking antihypertensives for a longer time showed a higher CAR (</w:t>
      </w:r>
      <w:r w:rsidRPr="00293EBD">
        <w:rPr>
          <w:i/>
          <w:sz w:val="23"/>
          <w:szCs w:val="23"/>
          <w:lang w:val="en-US"/>
        </w:rPr>
        <w:t>r</w:t>
      </w:r>
      <w:r w:rsidRPr="00293EBD">
        <w:rPr>
          <w:sz w:val="23"/>
          <w:szCs w:val="23"/>
          <w:lang w:val="en-US"/>
        </w:rPr>
        <w:t xml:space="preserve">=0.49, 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=0.051)</w:t>
      </w:r>
      <w:r>
        <w:rPr>
          <w:sz w:val="23"/>
          <w:szCs w:val="23"/>
          <w:lang w:val="en-US"/>
        </w:rPr>
        <w:t xml:space="preserve">. </w:t>
      </w:r>
      <w:r w:rsidRPr="00293EBD">
        <w:rPr>
          <w:lang w:val="en-US"/>
        </w:rPr>
        <w:t>Although the association between time taking antihypertensives and the CAR was close to being statistically significant (</w:t>
      </w:r>
      <w:r w:rsidRPr="00293EBD">
        <w:rPr>
          <w:i/>
          <w:lang w:val="en-US"/>
        </w:rPr>
        <w:t>p</w:t>
      </w:r>
      <w:r>
        <w:rPr>
          <w:lang w:val="en-US"/>
        </w:rPr>
        <w:t>=</w:t>
      </w:r>
      <w:r w:rsidRPr="00293EBD">
        <w:rPr>
          <w:lang w:val="en-US"/>
        </w:rPr>
        <w:t xml:space="preserve">0.051), it should be noted that the </w:t>
      </w:r>
      <w:r w:rsidRPr="00293EBD">
        <w:rPr>
          <w:i/>
          <w:lang w:val="en-US"/>
        </w:rPr>
        <w:t>p</w:t>
      </w:r>
      <w:r w:rsidRPr="00293EBD">
        <w:rPr>
          <w:lang w:val="en-US"/>
        </w:rPr>
        <w:t xml:space="preserve"> value reported is two-tailed. Given that this analysis is performed to confirm the previous results observed with the complete (and larger) sample, a one-tailed </w:t>
      </w:r>
      <w:r w:rsidRPr="00293EBD">
        <w:rPr>
          <w:i/>
          <w:lang w:val="en-US"/>
        </w:rPr>
        <w:t>p</w:t>
      </w:r>
      <w:r w:rsidRPr="00293EBD">
        <w:rPr>
          <w:lang w:val="en-US"/>
        </w:rPr>
        <w:t xml:space="preserve"> value could also be considered. In this case, the association between time taking antihypertensives and the CAR is statistically significant (</w:t>
      </w:r>
      <w:r w:rsidRPr="00293EBD">
        <w:rPr>
          <w:i/>
          <w:lang w:val="en-US"/>
        </w:rPr>
        <w:t>p</w:t>
      </w:r>
      <w:r>
        <w:rPr>
          <w:lang w:val="en-US"/>
        </w:rPr>
        <w:t>=0.026</w:t>
      </w:r>
      <w:r w:rsidRPr="00293EBD">
        <w:rPr>
          <w:lang w:val="en-US"/>
        </w:rPr>
        <w:t>).</w:t>
      </w:r>
    </w:p>
    <w:p w:rsidR="00F360D1" w:rsidRDefault="00F360D1" w:rsidP="004C6FD5">
      <w:pPr>
        <w:spacing w:line="360" w:lineRule="auto"/>
        <w:rPr>
          <w:sz w:val="23"/>
          <w:szCs w:val="23"/>
          <w:lang w:val="en-US"/>
        </w:rPr>
      </w:pPr>
      <w:r w:rsidRPr="00293EBD">
        <w:rPr>
          <w:sz w:val="23"/>
          <w:szCs w:val="23"/>
          <w:lang w:val="en-US"/>
        </w:rPr>
        <w:lastRenderedPageBreak/>
        <w:t xml:space="preserve">In the normotensive group, </w:t>
      </w:r>
      <w:r>
        <w:rPr>
          <w:sz w:val="23"/>
          <w:szCs w:val="23"/>
          <w:lang w:val="en-US"/>
        </w:rPr>
        <w:t>i</w:t>
      </w:r>
      <w:r w:rsidRPr="00293EBD">
        <w:rPr>
          <w:sz w:val="23"/>
          <w:szCs w:val="23"/>
          <w:lang w:val="en-US"/>
        </w:rPr>
        <w:t>f the analyses are performed with the 2 Day-CAR subgroup, the association between bedtime and wak</w:t>
      </w:r>
      <w:r w:rsidR="004A1348">
        <w:rPr>
          <w:sz w:val="23"/>
          <w:szCs w:val="23"/>
          <w:lang w:val="en-US"/>
        </w:rPr>
        <w:t>ing</w:t>
      </w:r>
      <w:r w:rsidRPr="00293EBD">
        <w:rPr>
          <w:sz w:val="23"/>
          <w:szCs w:val="23"/>
          <w:lang w:val="en-US"/>
        </w:rPr>
        <w:t xml:space="preserve"> time (</w:t>
      </w:r>
      <w:r w:rsidRPr="00293EBD">
        <w:rPr>
          <w:i/>
          <w:sz w:val="23"/>
          <w:szCs w:val="23"/>
          <w:lang w:val="en-US"/>
        </w:rPr>
        <w:t>r</w:t>
      </w:r>
      <w:r w:rsidRPr="00293EBD">
        <w:rPr>
          <w:sz w:val="23"/>
          <w:szCs w:val="23"/>
          <w:lang w:val="en-US"/>
        </w:rPr>
        <w:t xml:space="preserve">=0.62, 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=0.002) and the association between cortisol awakening and AUCg (</w:t>
      </w:r>
      <w:r w:rsidRPr="00293EBD">
        <w:rPr>
          <w:i/>
          <w:sz w:val="23"/>
          <w:szCs w:val="23"/>
          <w:lang w:val="en-US"/>
        </w:rPr>
        <w:t>r</w:t>
      </w:r>
      <w:r w:rsidRPr="00293EBD">
        <w:rPr>
          <w:sz w:val="23"/>
          <w:szCs w:val="23"/>
          <w:lang w:val="en-US"/>
        </w:rPr>
        <w:t xml:space="preserve">=0.91, 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&lt;0.001) remained significant.</w:t>
      </w:r>
    </w:p>
    <w:p w:rsidR="004C6FD5" w:rsidRDefault="004C6FD5" w:rsidP="004C6FD5">
      <w:pPr>
        <w:spacing w:line="360" w:lineRule="auto"/>
        <w:rPr>
          <w:sz w:val="23"/>
          <w:szCs w:val="23"/>
          <w:lang w:val="en-US"/>
        </w:rPr>
      </w:pPr>
    </w:p>
    <w:p w:rsidR="00F360D1" w:rsidRPr="007E6B70" w:rsidRDefault="00F360D1" w:rsidP="004C6FD5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  <w:lang w:val="en-US"/>
        </w:rPr>
      </w:pPr>
      <w:r w:rsidRPr="007E6B70">
        <w:rPr>
          <w:b/>
          <w:i/>
          <w:sz w:val="24"/>
          <w:szCs w:val="24"/>
          <w:lang w:val="en-US"/>
        </w:rPr>
        <w:t>Relationship between CAR and cognitive performance.</w:t>
      </w:r>
    </w:p>
    <w:p w:rsidR="00F360D1" w:rsidRPr="00293EBD" w:rsidRDefault="00F360D1" w:rsidP="004C6FD5">
      <w:pPr>
        <w:autoSpaceDE w:val="0"/>
        <w:autoSpaceDN w:val="0"/>
        <w:adjustRightInd w:val="0"/>
        <w:spacing w:line="360" w:lineRule="auto"/>
        <w:rPr>
          <w:sz w:val="20"/>
          <w:szCs w:val="23"/>
          <w:highlight w:val="yellow"/>
          <w:lang w:val="en-US"/>
        </w:rPr>
      </w:pPr>
      <w:r w:rsidRPr="00293EBD">
        <w:rPr>
          <w:sz w:val="23"/>
          <w:szCs w:val="23"/>
          <w:lang w:val="en-US"/>
        </w:rPr>
        <w:t xml:space="preserve">We first explored the association between the CAR and cognitive outcomes, controlling the age of the participants. </w:t>
      </w:r>
      <w:r w:rsidR="00704E08">
        <w:rPr>
          <w:sz w:val="23"/>
          <w:szCs w:val="23"/>
          <w:lang w:val="en-US"/>
        </w:rPr>
        <w:t>I</w:t>
      </w:r>
      <w:r w:rsidRPr="00293EBD">
        <w:rPr>
          <w:sz w:val="23"/>
          <w:szCs w:val="23"/>
          <w:lang w:val="en-US"/>
        </w:rPr>
        <w:t xml:space="preserve">f the analyses are performed with the 2 Day-CAR subgroup alone, </w:t>
      </w:r>
      <w:r w:rsidR="00F266EB">
        <w:rPr>
          <w:sz w:val="23"/>
          <w:szCs w:val="23"/>
          <w:lang w:val="en-US"/>
        </w:rPr>
        <w:t>a</w:t>
      </w:r>
      <w:r w:rsidRPr="00293EBD">
        <w:rPr>
          <w:sz w:val="23"/>
          <w:szCs w:val="23"/>
          <w:lang w:val="en-US"/>
        </w:rPr>
        <w:t xml:space="preserve"> CAR </w:t>
      </w:r>
      <w:r w:rsidR="00F266EB">
        <w:rPr>
          <w:sz w:val="23"/>
          <w:szCs w:val="23"/>
          <w:lang w:val="en-US"/>
        </w:rPr>
        <w:t xml:space="preserve">of increased magnitude </w:t>
      </w:r>
      <w:r w:rsidRPr="00293EBD">
        <w:rPr>
          <w:sz w:val="23"/>
          <w:szCs w:val="23"/>
          <w:lang w:val="en-US"/>
        </w:rPr>
        <w:t>was still related to better performance on the TMT-B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=0.003) and the Word-Color test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=0.014), but not to performance on the TMT-A (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 xml:space="preserve">=0.706). </w:t>
      </w:r>
      <w:r w:rsidR="0010639E">
        <w:rPr>
          <w:sz w:val="23"/>
          <w:szCs w:val="23"/>
          <w:lang w:val="en-US"/>
        </w:rPr>
        <w:t>As observed for the complete sample, n</w:t>
      </w:r>
      <w:r w:rsidRPr="00293EBD">
        <w:rPr>
          <w:sz w:val="23"/>
          <w:szCs w:val="23"/>
          <w:lang w:val="en-US"/>
        </w:rPr>
        <w:t xml:space="preserve">one of the other associations were significant for the 2 Day-CAR subgroup alone (all </w:t>
      </w:r>
      <w:r w:rsidRPr="00293EBD">
        <w:rPr>
          <w:i/>
          <w:sz w:val="23"/>
          <w:szCs w:val="23"/>
          <w:lang w:val="en-US"/>
        </w:rPr>
        <w:t>p</w:t>
      </w:r>
      <w:r w:rsidRPr="00293EBD">
        <w:rPr>
          <w:sz w:val="23"/>
          <w:szCs w:val="23"/>
          <w:lang w:val="en-US"/>
        </w:rPr>
        <w:t>&lt;0.408).</w:t>
      </w:r>
    </w:p>
    <w:p w:rsidR="00F360D1" w:rsidRPr="00293EBD" w:rsidRDefault="00F360D1" w:rsidP="004C6FD5">
      <w:pPr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293EBD">
        <w:rPr>
          <w:sz w:val="23"/>
          <w:szCs w:val="23"/>
          <w:lang w:val="en-US"/>
        </w:rPr>
        <w:t>Finally, we investigate</w:t>
      </w:r>
      <w:r w:rsidR="00756D5F">
        <w:rPr>
          <w:sz w:val="23"/>
          <w:szCs w:val="23"/>
          <w:lang w:val="en-US"/>
        </w:rPr>
        <w:t>d</w:t>
      </w:r>
      <w:r w:rsidRPr="00293EBD">
        <w:rPr>
          <w:sz w:val="23"/>
          <w:szCs w:val="23"/>
          <w:lang w:val="en-US"/>
        </w:rPr>
        <w:t xml:space="preserve"> whether the CAR was related to cognitive performance, after controlling for several variables that </w:t>
      </w:r>
      <w:r>
        <w:rPr>
          <w:sz w:val="23"/>
          <w:szCs w:val="23"/>
          <w:lang w:val="en-US"/>
        </w:rPr>
        <w:t xml:space="preserve">were related to CAR and/or </w:t>
      </w:r>
      <w:r w:rsidRPr="00293EBD">
        <w:rPr>
          <w:sz w:val="23"/>
          <w:szCs w:val="23"/>
          <w:lang w:val="en-US"/>
        </w:rPr>
        <w:t>cognitive performance (</w:t>
      </w:r>
      <w:r>
        <w:rPr>
          <w:sz w:val="23"/>
          <w:szCs w:val="23"/>
          <w:lang w:val="en-US"/>
        </w:rPr>
        <w:t xml:space="preserve">see section </w:t>
      </w:r>
      <w:r w:rsidR="00F266EB" w:rsidRPr="00F266EB">
        <w:rPr>
          <w:i/>
          <w:sz w:val="23"/>
          <w:szCs w:val="23"/>
          <w:lang w:val="en-US"/>
        </w:rPr>
        <w:t>1</w:t>
      </w:r>
      <w:r w:rsidRPr="00F266EB">
        <w:rPr>
          <w:i/>
          <w:sz w:val="23"/>
          <w:szCs w:val="23"/>
          <w:lang w:val="en-US"/>
        </w:rPr>
        <w:t xml:space="preserve"> </w:t>
      </w:r>
      <w:r w:rsidR="00F266EB" w:rsidRPr="00F266EB">
        <w:rPr>
          <w:i/>
          <w:sz w:val="23"/>
          <w:szCs w:val="23"/>
          <w:lang w:val="en-US"/>
        </w:rPr>
        <w:t>Selection of covariates for regression analyses</w:t>
      </w:r>
      <w:r w:rsidRPr="00293EBD">
        <w:rPr>
          <w:sz w:val="23"/>
          <w:szCs w:val="23"/>
          <w:lang w:val="en-US"/>
        </w:rPr>
        <w:t>). Additionally, we performed a moderator regression analysis to investigate whether these relationships were different for the hypertensive and normotensive groups.</w:t>
      </w:r>
    </w:p>
    <w:p w:rsidR="00F360D1" w:rsidRDefault="00F360D1" w:rsidP="004C6FD5">
      <w:pPr>
        <w:spacing w:line="360" w:lineRule="auto"/>
        <w:rPr>
          <w:sz w:val="23"/>
          <w:szCs w:val="23"/>
          <w:lang w:val="en-US"/>
        </w:rPr>
      </w:pPr>
      <w:r w:rsidRPr="00293EBD">
        <w:rPr>
          <w:sz w:val="23"/>
          <w:szCs w:val="23"/>
          <w:lang w:val="en-US"/>
        </w:rPr>
        <w:t xml:space="preserve">If </w:t>
      </w:r>
      <w:r w:rsidRPr="00F266EB">
        <w:rPr>
          <w:sz w:val="23"/>
          <w:szCs w:val="23"/>
          <w:lang w:val="en-US"/>
        </w:rPr>
        <w:t xml:space="preserve">the regression analyses are performed with the 2 Day-CAR subgroup </w:t>
      </w:r>
      <w:r w:rsidR="00756D5F">
        <w:rPr>
          <w:sz w:val="23"/>
          <w:szCs w:val="23"/>
          <w:lang w:val="en-US"/>
        </w:rPr>
        <w:t>alone</w:t>
      </w:r>
      <w:r w:rsidRPr="00F266EB">
        <w:rPr>
          <w:sz w:val="23"/>
          <w:szCs w:val="23"/>
          <w:lang w:val="en-US"/>
        </w:rPr>
        <w:t xml:space="preserve">, the same results </w:t>
      </w:r>
      <w:r w:rsidR="00756D5F">
        <w:rPr>
          <w:sz w:val="23"/>
          <w:szCs w:val="23"/>
          <w:lang w:val="en-US"/>
        </w:rPr>
        <w:t>are observed as</w:t>
      </w:r>
      <w:r w:rsidRPr="00F266EB">
        <w:rPr>
          <w:sz w:val="23"/>
          <w:szCs w:val="23"/>
          <w:lang w:val="en-US"/>
        </w:rPr>
        <w:t xml:space="preserve"> those show</w:t>
      </w:r>
      <w:r w:rsidR="00756D5F">
        <w:rPr>
          <w:sz w:val="23"/>
          <w:szCs w:val="23"/>
          <w:lang w:val="en-US"/>
        </w:rPr>
        <w:t>n</w:t>
      </w:r>
      <w:r w:rsidRPr="00F266EB">
        <w:rPr>
          <w:sz w:val="23"/>
          <w:szCs w:val="23"/>
          <w:lang w:val="en-US"/>
        </w:rPr>
        <w:t xml:space="preserve"> with the complete sample. </w:t>
      </w:r>
      <w:r w:rsidR="00F266EB" w:rsidRPr="00F266EB">
        <w:rPr>
          <w:sz w:val="23"/>
          <w:szCs w:val="23"/>
          <w:lang w:val="en-US"/>
        </w:rPr>
        <w:t>A</w:t>
      </w:r>
      <w:r w:rsidRPr="00F266EB">
        <w:rPr>
          <w:sz w:val="23"/>
          <w:szCs w:val="23"/>
          <w:lang w:val="en-US"/>
        </w:rPr>
        <w:t xml:space="preserve"> CAR </w:t>
      </w:r>
      <w:r w:rsidR="00F266EB" w:rsidRPr="00F266EB">
        <w:rPr>
          <w:sz w:val="23"/>
          <w:szCs w:val="23"/>
          <w:lang w:val="en-US"/>
        </w:rPr>
        <w:t xml:space="preserve">of increased magnitude </w:t>
      </w:r>
      <w:r w:rsidRPr="00F266EB">
        <w:rPr>
          <w:sz w:val="23"/>
          <w:szCs w:val="23"/>
          <w:lang w:val="en-US"/>
        </w:rPr>
        <w:t xml:space="preserve">was related to better performance on the TMT-B (β=-0.43,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 xml:space="preserve">=0.003) and Word-Color naming (β=0.48, </w:t>
      </w:r>
      <w:r w:rsidRPr="00F266EB">
        <w:rPr>
          <w:i/>
          <w:sz w:val="23"/>
          <w:szCs w:val="23"/>
          <w:lang w:val="en-US"/>
        </w:rPr>
        <w:t>p</w:t>
      </w:r>
      <w:r w:rsidRPr="00F266EB">
        <w:rPr>
          <w:sz w:val="23"/>
          <w:szCs w:val="23"/>
          <w:lang w:val="en-US"/>
        </w:rPr>
        <w:t xml:space="preserve">=0.004). </w:t>
      </w:r>
      <w:r w:rsidR="00CC535A" w:rsidRPr="00F266EB">
        <w:rPr>
          <w:sz w:val="23"/>
          <w:szCs w:val="23"/>
          <w:lang w:val="en-US"/>
        </w:rPr>
        <w:t>The interactions between CAR and hypertension w</w:t>
      </w:r>
      <w:r w:rsidR="00756D5F">
        <w:rPr>
          <w:sz w:val="23"/>
          <w:szCs w:val="23"/>
          <w:lang w:val="en-US"/>
        </w:rPr>
        <w:t>ere</w:t>
      </w:r>
      <w:r w:rsidR="00CC535A" w:rsidRPr="00F266EB">
        <w:rPr>
          <w:sz w:val="23"/>
          <w:szCs w:val="23"/>
          <w:lang w:val="en-US"/>
        </w:rPr>
        <w:t xml:space="preserve"> significant for Word-Color naming (p=0.031). The relationship between CAR and Word-Color naming was positive for both groups, but it was significant only for the normotensive group (Normotensive group: β=0.72, </w:t>
      </w:r>
      <w:r w:rsidR="00CC535A" w:rsidRPr="00F266EB">
        <w:rPr>
          <w:i/>
          <w:sz w:val="23"/>
          <w:szCs w:val="23"/>
          <w:lang w:val="en-US"/>
        </w:rPr>
        <w:t>p</w:t>
      </w:r>
      <w:r w:rsidR="00CC535A" w:rsidRPr="00F266EB">
        <w:rPr>
          <w:sz w:val="23"/>
          <w:szCs w:val="23"/>
          <w:lang w:val="en-US"/>
        </w:rPr>
        <w:t xml:space="preserve">=0.001; Hypertensive group: β=0.16, </w:t>
      </w:r>
      <w:r w:rsidR="00CC535A" w:rsidRPr="00F266EB">
        <w:rPr>
          <w:i/>
          <w:sz w:val="23"/>
          <w:szCs w:val="23"/>
          <w:lang w:val="en-US"/>
        </w:rPr>
        <w:t>p</w:t>
      </w:r>
      <w:r w:rsidR="00CC535A" w:rsidRPr="00F266EB">
        <w:rPr>
          <w:sz w:val="23"/>
          <w:szCs w:val="23"/>
          <w:lang w:val="en-US"/>
        </w:rPr>
        <w:t xml:space="preserve">=0.349). As observed for the complete sample, none of the other relationships were statistically significant (all </w:t>
      </w:r>
      <w:r w:rsidR="00CC535A" w:rsidRPr="00F266EB">
        <w:rPr>
          <w:i/>
          <w:sz w:val="23"/>
          <w:szCs w:val="23"/>
          <w:lang w:val="en-US"/>
        </w:rPr>
        <w:t>p</w:t>
      </w:r>
      <w:r w:rsidR="00CC535A" w:rsidRPr="00F266EB">
        <w:rPr>
          <w:sz w:val="23"/>
          <w:szCs w:val="23"/>
          <w:lang w:val="en-US"/>
        </w:rPr>
        <w:t>&gt;0.125).</w:t>
      </w:r>
    </w:p>
    <w:p w:rsidR="00DD1B81" w:rsidRDefault="00DD1B81" w:rsidP="004C6FD5">
      <w:pPr>
        <w:spacing w:line="360" w:lineRule="auto"/>
        <w:rPr>
          <w:sz w:val="23"/>
          <w:szCs w:val="23"/>
          <w:lang w:val="en-US"/>
        </w:rPr>
      </w:pPr>
    </w:p>
    <w:p w:rsidR="007E6B70" w:rsidRPr="007E6B70" w:rsidRDefault="007E6B70" w:rsidP="007E6B70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b/>
          <w:i/>
          <w:sz w:val="24"/>
          <w:szCs w:val="24"/>
          <w:lang w:val="en-US"/>
        </w:rPr>
      </w:pPr>
      <w:r w:rsidRPr="007E6B70">
        <w:rPr>
          <w:b/>
          <w:i/>
          <w:sz w:val="24"/>
          <w:szCs w:val="24"/>
          <w:lang w:val="en-US"/>
        </w:rPr>
        <w:t>Relationship between time taking antihypertensive medication and cognitive performance.</w:t>
      </w:r>
    </w:p>
    <w:p w:rsidR="00322CE3" w:rsidRDefault="007E6B70" w:rsidP="007E6B70">
      <w:pPr>
        <w:spacing w:line="48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lastRenderedPageBreak/>
        <w:t xml:space="preserve">When the relationship between time taking antihypertensives and cognitive outcomes was studied in the 2 Day-CAR subgroup, results showed that </w:t>
      </w:r>
      <w:r w:rsidR="00756D5F">
        <w:rPr>
          <w:sz w:val="23"/>
          <w:szCs w:val="23"/>
          <w:lang w:val="en-US"/>
        </w:rPr>
        <w:t xml:space="preserve">a </w:t>
      </w:r>
      <w:r>
        <w:rPr>
          <w:sz w:val="23"/>
          <w:szCs w:val="23"/>
          <w:lang w:val="en-US"/>
        </w:rPr>
        <w:t xml:space="preserve">longer time taking antihypertensive medication was still </w:t>
      </w:r>
      <w:r w:rsidRPr="00F266EB">
        <w:rPr>
          <w:sz w:val="23"/>
          <w:szCs w:val="23"/>
          <w:lang w:val="en-US"/>
        </w:rPr>
        <w:t xml:space="preserve">related to better performance on </w:t>
      </w:r>
      <w:r w:rsidR="004A1348">
        <w:rPr>
          <w:sz w:val="23"/>
          <w:szCs w:val="23"/>
          <w:lang w:val="en-US"/>
        </w:rPr>
        <w:t xml:space="preserve">the </w:t>
      </w:r>
      <w:r w:rsidRPr="00F266EB">
        <w:rPr>
          <w:sz w:val="23"/>
          <w:szCs w:val="23"/>
          <w:lang w:val="en-US"/>
        </w:rPr>
        <w:t>TMT-B</w:t>
      </w:r>
      <w:r w:rsidR="0005226F">
        <w:rPr>
          <w:sz w:val="23"/>
          <w:szCs w:val="23"/>
          <w:lang w:val="en-US"/>
        </w:rPr>
        <w:t xml:space="preserve"> </w:t>
      </w:r>
      <w:r w:rsidRPr="00F266EB">
        <w:rPr>
          <w:sz w:val="23"/>
          <w:szCs w:val="23"/>
          <w:lang w:val="en-US"/>
        </w:rPr>
        <w:t>(p=0.</w:t>
      </w:r>
      <w:r w:rsidR="00067AEA" w:rsidRPr="00F266EB">
        <w:rPr>
          <w:sz w:val="23"/>
          <w:szCs w:val="23"/>
          <w:lang w:val="en-US"/>
        </w:rPr>
        <w:t>065</w:t>
      </w:r>
      <w:r w:rsidRPr="00F266EB">
        <w:rPr>
          <w:sz w:val="23"/>
          <w:szCs w:val="23"/>
          <w:lang w:val="en-US"/>
        </w:rPr>
        <w:t xml:space="preserve">). </w:t>
      </w:r>
      <w:r w:rsidR="0005226F">
        <w:rPr>
          <w:sz w:val="23"/>
          <w:szCs w:val="23"/>
          <w:lang w:val="en-US"/>
        </w:rPr>
        <w:t xml:space="preserve">The </w:t>
      </w:r>
      <w:r w:rsidRPr="00F266EB">
        <w:rPr>
          <w:sz w:val="23"/>
          <w:szCs w:val="23"/>
          <w:lang w:val="en-US"/>
        </w:rPr>
        <w:t xml:space="preserve">relationship </w:t>
      </w:r>
      <w:r w:rsidR="0005226F">
        <w:rPr>
          <w:sz w:val="23"/>
          <w:szCs w:val="23"/>
          <w:lang w:val="en-US"/>
        </w:rPr>
        <w:t xml:space="preserve">with processing speed was not </w:t>
      </w:r>
      <w:r w:rsidRPr="00F266EB">
        <w:rPr>
          <w:sz w:val="23"/>
          <w:szCs w:val="23"/>
          <w:lang w:val="en-US"/>
        </w:rPr>
        <w:t>significant (p</w:t>
      </w:r>
      <w:r w:rsidR="0005226F">
        <w:rPr>
          <w:sz w:val="23"/>
          <w:szCs w:val="23"/>
          <w:lang w:val="en-US"/>
        </w:rPr>
        <w:t>=</w:t>
      </w:r>
      <w:r w:rsidR="00067AEA" w:rsidRPr="00F266EB">
        <w:rPr>
          <w:sz w:val="23"/>
          <w:szCs w:val="23"/>
          <w:lang w:val="en-US"/>
        </w:rPr>
        <w:t>0.</w:t>
      </w:r>
      <w:r w:rsidR="0005226F">
        <w:rPr>
          <w:sz w:val="23"/>
          <w:szCs w:val="23"/>
          <w:lang w:val="en-US"/>
        </w:rPr>
        <w:t>950</w:t>
      </w:r>
      <w:r w:rsidRPr="00F266EB">
        <w:rPr>
          <w:sz w:val="23"/>
          <w:szCs w:val="23"/>
          <w:lang w:val="en-US"/>
        </w:rPr>
        <w:t>).</w:t>
      </w:r>
    </w:p>
    <w:p w:rsidR="00B145F1" w:rsidRDefault="00B145F1" w:rsidP="007E6B70">
      <w:pPr>
        <w:spacing w:line="480" w:lineRule="auto"/>
        <w:rPr>
          <w:sz w:val="23"/>
          <w:szCs w:val="23"/>
          <w:lang w:val="en-US"/>
        </w:rPr>
      </w:pPr>
    </w:p>
    <w:p w:rsidR="00B145F1" w:rsidRDefault="00B145F1" w:rsidP="00B145F1">
      <w:pPr>
        <w:spacing w:line="480" w:lineRule="auto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References</w:t>
      </w:r>
    </w:p>
    <w:p w:rsidR="00B145F1" w:rsidRPr="00293EBD" w:rsidRDefault="00B145F1" w:rsidP="00B145F1">
      <w:pPr>
        <w:pStyle w:val="NormalWeb"/>
        <w:spacing w:before="0" w:beforeAutospacing="0" w:after="240" w:afterAutospacing="0"/>
        <w:ind w:left="450" w:hanging="450"/>
        <w:rPr>
          <w:rFonts w:ascii="Calibri" w:hAnsi="Calibri"/>
          <w:sz w:val="22"/>
          <w:szCs w:val="22"/>
          <w:lang w:val="en-US"/>
        </w:rPr>
      </w:pPr>
      <w:r w:rsidRPr="00293EBD">
        <w:rPr>
          <w:rFonts w:ascii="Calibri" w:hAnsi="Calibri"/>
          <w:sz w:val="22"/>
          <w:szCs w:val="22"/>
          <w:lang w:val="en-US"/>
        </w:rPr>
        <w:t>Clow, A., Hucklebridge, F., Stalder, T., Evans, P., Thorn, L. 2010. The cortisol awakening response: More than a measure of HPA axis function.</w:t>
      </w:r>
      <w:r w:rsidRPr="00293EBD">
        <w:rPr>
          <w:rFonts w:ascii="Calibri" w:hAnsi="Calibri"/>
          <w:iCs/>
          <w:sz w:val="22"/>
          <w:szCs w:val="22"/>
          <w:lang w:val="en-US"/>
        </w:rPr>
        <w:t xml:space="preserve"> Neurosci. Biobehav. Rev. 35</w:t>
      </w:r>
      <w:r w:rsidRPr="00293EBD">
        <w:rPr>
          <w:rFonts w:ascii="Calibri" w:hAnsi="Calibri"/>
          <w:sz w:val="22"/>
          <w:szCs w:val="22"/>
          <w:lang w:val="en-US"/>
        </w:rPr>
        <w:t xml:space="preserve">(1), 97-103. </w:t>
      </w:r>
    </w:p>
    <w:p w:rsidR="00B145F1" w:rsidRPr="00293EBD" w:rsidRDefault="00B145F1" w:rsidP="00B145F1">
      <w:pPr>
        <w:pStyle w:val="NormalWeb"/>
        <w:spacing w:before="0" w:beforeAutospacing="0" w:after="240" w:afterAutospacing="0"/>
        <w:ind w:left="450" w:hanging="450"/>
        <w:rPr>
          <w:rFonts w:ascii="Calibri" w:hAnsi="Calibri"/>
          <w:sz w:val="22"/>
          <w:szCs w:val="22"/>
          <w:lang w:val="en-US"/>
        </w:rPr>
      </w:pPr>
      <w:r w:rsidRPr="00293EBD">
        <w:rPr>
          <w:rFonts w:ascii="Calibri" w:hAnsi="Calibri"/>
          <w:sz w:val="22"/>
          <w:szCs w:val="22"/>
          <w:lang w:val="en-US"/>
        </w:rPr>
        <w:t>Cournot, M., Marquie, J.C., Ansiau, D., Martinaud, C., Fonds, H., Ferrieres, J., Ruidavets, J.B. 2006. Relation between body mass index and cognitive function in healthy middle-aged men and women.</w:t>
      </w:r>
      <w:r w:rsidRPr="00293EBD">
        <w:rPr>
          <w:rFonts w:ascii="Calibri" w:hAnsi="Calibri"/>
          <w:iCs/>
          <w:sz w:val="22"/>
          <w:szCs w:val="22"/>
          <w:lang w:val="en-US"/>
        </w:rPr>
        <w:t xml:space="preserve"> Neurology. 67</w:t>
      </w:r>
      <w:r w:rsidRPr="00293EBD">
        <w:rPr>
          <w:rFonts w:ascii="Calibri" w:hAnsi="Calibri"/>
          <w:sz w:val="22"/>
          <w:szCs w:val="22"/>
          <w:lang w:val="en-US"/>
        </w:rPr>
        <w:t>(7), 1208-1214.</w:t>
      </w:r>
    </w:p>
    <w:p w:rsidR="00B145F1" w:rsidRPr="00293EBD" w:rsidRDefault="00B145F1" w:rsidP="00B145F1">
      <w:pPr>
        <w:pStyle w:val="NormalWeb"/>
        <w:spacing w:before="0" w:beforeAutospacing="0" w:after="240" w:afterAutospacing="0"/>
        <w:ind w:left="450" w:hanging="450"/>
        <w:rPr>
          <w:rFonts w:ascii="Calibri" w:hAnsi="Calibri"/>
          <w:sz w:val="22"/>
          <w:szCs w:val="22"/>
          <w:lang w:val="en-US"/>
        </w:rPr>
      </w:pPr>
      <w:r w:rsidRPr="00B145F1">
        <w:rPr>
          <w:rFonts w:ascii="Calibri" w:hAnsi="Calibri"/>
          <w:sz w:val="22"/>
          <w:szCs w:val="22"/>
          <w:lang w:val="en-US"/>
        </w:rPr>
        <w:t xml:space="preserve">Sindi, S., Fiocco, A.J., Juster, R., Pruessner, J., Lupien, S.J. 2013. </w:t>
      </w:r>
      <w:r w:rsidRPr="00293EBD">
        <w:rPr>
          <w:rFonts w:ascii="Calibri" w:hAnsi="Calibri"/>
          <w:sz w:val="22"/>
          <w:szCs w:val="22"/>
          <w:lang w:val="en-US"/>
        </w:rPr>
        <w:t>When we test, do we stress? impact of the testing environment on cortisol secretion and memory performance in older adults.</w:t>
      </w:r>
      <w:r w:rsidRPr="00293EBD">
        <w:rPr>
          <w:rFonts w:ascii="Calibri" w:hAnsi="Calibri"/>
          <w:iCs/>
          <w:sz w:val="22"/>
          <w:szCs w:val="22"/>
          <w:lang w:val="en-US"/>
        </w:rPr>
        <w:t xml:space="preserve"> Psychoneuroendocrinology. 38(8), 1388-1396.</w:t>
      </w:r>
    </w:p>
    <w:p w:rsidR="00B145F1" w:rsidRPr="00293EBD" w:rsidRDefault="00B145F1" w:rsidP="00B145F1">
      <w:pPr>
        <w:pStyle w:val="NormalWeb"/>
        <w:spacing w:before="0" w:beforeAutospacing="0" w:after="240" w:afterAutospacing="0"/>
        <w:ind w:left="450" w:hanging="450"/>
        <w:rPr>
          <w:rFonts w:ascii="Calibri" w:hAnsi="Calibri"/>
          <w:sz w:val="22"/>
          <w:szCs w:val="22"/>
          <w:lang w:val="en-US"/>
        </w:rPr>
      </w:pPr>
      <w:r w:rsidRPr="00293EBD">
        <w:rPr>
          <w:rFonts w:ascii="Calibri" w:hAnsi="Calibri"/>
          <w:sz w:val="22"/>
          <w:szCs w:val="22"/>
          <w:lang w:val="en-US"/>
        </w:rPr>
        <w:t>Wright, C.E., Steptoe, A. 2005. Subjective socioeconomic position, gender and cortisol responses to waking in an elderly population.</w:t>
      </w:r>
      <w:r w:rsidRPr="00293EBD">
        <w:rPr>
          <w:rFonts w:ascii="Calibri" w:hAnsi="Calibri"/>
          <w:iCs/>
          <w:sz w:val="22"/>
          <w:szCs w:val="22"/>
          <w:lang w:val="en-US"/>
        </w:rPr>
        <w:t xml:space="preserve"> Psychoneuroendocrinology. 30(</w:t>
      </w:r>
      <w:r w:rsidRPr="00293EBD">
        <w:rPr>
          <w:rFonts w:ascii="Calibri" w:hAnsi="Calibri"/>
          <w:sz w:val="22"/>
          <w:szCs w:val="22"/>
          <w:lang w:val="en-US"/>
        </w:rPr>
        <w:t>6), 582-590.</w:t>
      </w:r>
    </w:p>
    <w:p w:rsidR="00B145F1" w:rsidRPr="00F360D1" w:rsidRDefault="00B145F1" w:rsidP="007E6B70">
      <w:pPr>
        <w:spacing w:line="480" w:lineRule="auto"/>
        <w:rPr>
          <w:lang w:val="en-US"/>
        </w:rPr>
      </w:pPr>
    </w:p>
    <w:sectPr w:rsidR="00B145F1" w:rsidRPr="00F36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EA" w:rsidRDefault="005C1DEA" w:rsidP="00F360D1">
      <w:pPr>
        <w:spacing w:after="0" w:line="240" w:lineRule="auto"/>
      </w:pPr>
      <w:r>
        <w:separator/>
      </w:r>
    </w:p>
  </w:endnote>
  <w:endnote w:type="continuationSeparator" w:id="0">
    <w:p w:rsidR="005C1DEA" w:rsidRDefault="005C1DEA" w:rsidP="00F3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EA" w:rsidRDefault="005C1DEA" w:rsidP="00F360D1">
      <w:pPr>
        <w:spacing w:after="0" w:line="240" w:lineRule="auto"/>
      </w:pPr>
      <w:r>
        <w:separator/>
      </w:r>
    </w:p>
  </w:footnote>
  <w:footnote w:type="continuationSeparator" w:id="0">
    <w:p w:rsidR="005C1DEA" w:rsidRDefault="005C1DEA" w:rsidP="00F3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59BA"/>
    <w:multiLevelType w:val="multilevel"/>
    <w:tmpl w:val="F96C5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94F7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D1"/>
    <w:rsid w:val="00003C8A"/>
    <w:rsid w:val="00011738"/>
    <w:rsid w:val="00011FE0"/>
    <w:rsid w:val="0002783E"/>
    <w:rsid w:val="00030C7A"/>
    <w:rsid w:val="00040CCA"/>
    <w:rsid w:val="000445FD"/>
    <w:rsid w:val="000448D5"/>
    <w:rsid w:val="00045415"/>
    <w:rsid w:val="0005226F"/>
    <w:rsid w:val="00053D11"/>
    <w:rsid w:val="00056AD6"/>
    <w:rsid w:val="00057A87"/>
    <w:rsid w:val="0006082F"/>
    <w:rsid w:val="00060B9D"/>
    <w:rsid w:val="0006397F"/>
    <w:rsid w:val="00065E4B"/>
    <w:rsid w:val="00066C32"/>
    <w:rsid w:val="00067AEA"/>
    <w:rsid w:val="00071E56"/>
    <w:rsid w:val="00097A2E"/>
    <w:rsid w:val="000B0700"/>
    <w:rsid w:val="000B0CFD"/>
    <w:rsid w:val="000C234A"/>
    <w:rsid w:val="000D3FD2"/>
    <w:rsid w:val="000E0851"/>
    <w:rsid w:val="000F032A"/>
    <w:rsid w:val="000F7432"/>
    <w:rsid w:val="0010639E"/>
    <w:rsid w:val="00117F7B"/>
    <w:rsid w:val="00124FE3"/>
    <w:rsid w:val="00130E30"/>
    <w:rsid w:val="001352CC"/>
    <w:rsid w:val="001417EF"/>
    <w:rsid w:val="00144A3D"/>
    <w:rsid w:val="00146296"/>
    <w:rsid w:val="00147993"/>
    <w:rsid w:val="00147A42"/>
    <w:rsid w:val="001535B9"/>
    <w:rsid w:val="00153EFD"/>
    <w:rsid w:val="00160975"/>
    <w:rsid w:val="0016782A"/>
    <w:rsid w:val="00174F6F"/>
    <w:rsid w:val="001867D2"/>
    <w:rsid w:val="0019182F"/>
    <w:rsid w:val="0019209B"/>
    <w:rsid w:val="001937EC"/>
    <w:rsid w:val="001A013D"/>
    <w:rsid w:val="001A46ED"/>
    <w:rsid w:val="001B6E68"/>
    <w:rsid w:val="001D5364"/>
    <w:rsid w:val="001E70AC"/>
    <w:rsid w:val="00200F62"/>
    <w:rsid w:val="002018E9"/>
    <w:rsid w:val="002068CF"/>
    <w:rsid w:val="0021603A"/>
    <w:rsid w:val="00223148"/>
    <w:rsid w:val="00224097"/>
    <w:rsid w:val="002276D9"/>
    <w:rsid w:val="00231A27"/>
    <w:rsid w:val="00234927"/>
    <w:rsid w:val="002421E2"/>
    <w:rsid w:val="00251A2D"/>
    <w:rsid w:val="00257E78"/>
    <w:rsid w:val="002731F5"/>
    <w:rsid w:val="00292364"/>
    <w:rsid w:val="002A2874"/>
    <w:rsid w:val="002B0640"/>
    <w:rsid w:val="002C1CEF"/>
    <w:rsid w:val="002E1A00"/>
    <w:rsid w:val="002F540B"/>
    <w:rsid w:val="002F7CFA"/>
    <w:rsid w:val="00301AFE"/>
    <w:rsid w:val="00306237"/>
    <w:rsid w:val="00314033"/>
    <w:rsid w:val="00322CE3"/>
    <w:rsid w:val="003234CF"/>
    <w:rsid w:val="0033003D"/>
    <w:rsid w:val="00333AF5"/>
    <w:rsid w:val="00352312"/>
    <w:rsid w:val="00362E03"/>
    <w:rsid w:val="0039517A"/>
    <w:rsid w:val="003A0984"/>
    <w:rsid w:val="003A6C8F"/>
    <w:rsid w:val="003C1890"/>
    <w:rsid w:val="003D2C90"/>
    <w:rsid w:val="003E6EB2"/>
    <w:rsid w:val="003F106C"/>
    <w:rsid w:val="003F3994"/>
    <w:rsid w:val="003F4346"/>
    <w:rsid w:val="003F5FE0"/>
    <w:rsid w:val="00401976"/>
    <w:rsid w:val="004060F2"/>
    <w:rsid w:val="004106D7"/>
    <w:rsid w:val="004111C1"/>
    <w:rsid w:val="00411FD4"/>
    <w:rsid w:val="00413710"/>
    <w:rsid w:val="0042448A"/>
    <w:rsid w:val="004247F8"/>
    <w:rsid w:val="00435EE9"/>
    <w:rsid w:val="00442CF6"/>
    <w:rsid w:val="00442E58"/>
    <w:rsid w:val="00457947"/>
    <w:rsid w:val="00482A48"/>
    <w:rsid w:val="0049039F"/>
    <w:rsid w:val="00490C8D"/>
    <w:rsid w:val="00490F2A"/>
    <w:rsid w:val="004919BE"/>
    <w:rsid w:val="004A1348"/>
    <w:rsid w:val="004A22E5"/>
    <w:rsid w:val="004A6A15"/>
    <w:rsid w:val="004C4BC9"/>
    <w:rsid w:val="004C6FD5"/>
    <w:rsid w:val="004D339C"/>
    <w:rsid w:val="004E5AD2"/>
    <w:rsid w:val="004E5C05"/>
    <w:rsid w:val="004F246F"/>
    <w:rsid w:val="004F62E8"/>
    <w:rsid w:val="00503516"/>
    <w:rsid w:val="005044E7"/>
    <w:rsid w:val="00510F38"/>
    <w:rsid w:val="00512C38"/>
    <w:rsid w:val="0051354E"/>
    <w:rsid w:val="005136A4"/>
    <w:rsid w:val="005141FD"/>
    <w:rsid w:val="005162FD"/>
    <w:rsid w:val="005175F8"/>
    <w:rsid w:val="005252D9"/>
    <w:rsid w:val="00525CFB"/>
    <w:rsid w:val="00546FE0"/>
    <w:rsid w:val="00555F65"/>
    <w:rsid w:val="0056458E"/>
    <w:rsid w:val="005679E5"/>
    <w:rsid w:val="00582A68"/>
    <w:rsid w:val="005832D7"/>
    <w:rsid w:val="00591668"/>
    <w:rsid w:val="00594673"/>
    <w:rsid w:val="00596471"/>
    <w:rsid w:val="005A42A4"/>
    <w:rsid w:val="005B0D9A"/>
    <w:rsid w:val="005B3AE3"/>
    <w:rsid w:val="005B4102"/>
    <w:rsid w:val="005B4BD8"/>
    <w:rsid w:val="005C1DEA"/>
    <w:rsid w:val="005C34CC"/>
    <w:rsid w:val="005C4454"/>
    <w:rsid w:val="005C5A89"/>
    <w:rsid w:val="005C67F9"/>
    <w:rsid w:val="005E56DE"/>
    <w:rsid w:val="005E5A6D"/>
    <w:rsid w:val="005F1811"/>
    <w:rsid w:val="005F1ED9"/>
    <w:rsid w:val="005F5677"/>
    <w:rsid w:val="006039B7"/>
    <w:rsid w:val="00606226"/>
    <w:rsid w:val="0060702D"/>
    <w:rsid w:val="00617B0D"/>
    <w:rsid w:val="00617BAF"/>
    <w:rsid w:val="006201D1"/>
    <w:rsid w:val="00620225"/>
    <w:rsid w:val="006214AB"/>
    <w:rsid w:val="0062164B"/>
    <w:rsid w:val="006327A0"/>
    <w:rsid w:val="006332A6"/>
    <w:rsid w:val="00633F8F"/>
    <w:rsid w:val="006473F3"/>
    <w:rsid w:val="00651B30"/>
    <w:rsid w:val="00657B4A"/>
    <w:rsid w:val="00664B18"/>
    <w:rsid w:val="00672796"/>
    <w:rsid w:val="006B3BED"/>
    <w:rsid w:val="006B5C10"/>
    <w:rsid w:val="006C254D"/>
    <w:rsid w:val="006D0BE5"/>
    <w:rsid w:val="006D6E82"/>
    <w:rsid w:val="00703268"/>
    <w:rsid w:val="00704E08"/>
    <w:rsid w:val="00705313"/>
    <w:rsid w:val="00707FED"/>
    <w:rsid w:val="00712789"/>
    <w:rsid w:val="00713019"/>
    <w:rsid w:val="00715F9B"/>
    <w:rsid w:val="007175B5"/>
    <w:rsid w:val="007238E8"/>
    <w:rsid w:val="00725B36"/>
    <w:rsid w:val="0072710F"/>
    <w:rsid w:val="00740B27"/>
    <w:rsid w:val="00742C6D"/>
    <w:rsid w:val="00754379"/>
    <w:rsid w:val="00756D5F"/>
    <w:rsid w:val="007603BB"/>
    <w:rsid w:val="007707EA"/>
    <w:rsid w:val="00771988"/>
    <w:rsid w:val="00771D38"/>
    <w:rsid w:val="00783F18"/>
    <w:rsid w:val="0078755E"/>
    <w:rsid w:val="0079308F"/>
    <w:rsid w:val="007A1AA1"/>
    <w:rsid w:val="007A3B64"/>
    <w:rsid w:val="007B119B"/>
    <w:rsid w:val="007B7491"/>
    <w:rsid w:val="007C22F6"/>
    <w:rsid w:val="007C3E34"/>
    <w:rsid w:val="007C4CD6"/>
    <w:rsid w:val="007C6009"/>
    <w:rsid w:val="007C6CA6"/>
    <w:rsid w:val="007C788B"/>
    <w:rsid w:val="007D1C48"/>
    <w:rsid w:val="007D74F5"/>
    <w:rsid w:val="007E050C"/>
    <w:rsid w:val="007E4311"/>
    <w:rsid w:val="007E6B70"/>
    <w:rsid w:val="007F50DB"/>
    <w:rsid w:val="00801F13"/>
    <w:rsid w:val="00803149"/>
    <w:rsid w:val="00804C48"/>
    <w:rsid w:val="00807A0B"/>
    <w:rsid w:val="00813C17"/>
    <w:rsid w:val="0081434E"/>
    <w:rsid w:val="00814D5E"/>
    <w:rsid w:val="00817E59"/>
    <w:rsid w:val="0082164A"/>
    <w:rsid w:val="00841E14"/>
    <w:rsid w:val="00847A89"/>
    <w:rsid w:val="0085058E"/>
    <w:rsid w:val="00851F1C"/>
    <w:rsid w:val="00867EB3"/>
    <w:rsid w:val="00870ED0"/>
    <w:rsid w:val="00871340"/>
    <w:rsid w:val="0087451E"/>
    <w:rsid w:val="00881314"/>
    <w:rsid w:val="00883D6F"/>
    <w:rsid w:val="008A1CED"/>
    <w:rsid w:val="008A4902"/>
    <w:rsid w:val="008B54BA"/>
    <w:rsid w:val="008B7C3A"/>
    <w:rsid w:val="008C083D"/>
    <w:rsid w:val="008C50A9"/>
    <w:rsid w:val="008C6D08"/>
    <w:rsid w:val="008D2736"/>
    <w:rsid w:val="008E26AD"/>
    <w:rsid w:val="008E7740"/>
    <w:rsid w:val="008F216F"/>
    <w:rsid w:val="008F333E"/>
    <w:rsid w:val="009207C8"/>
    <w:rsid w:val="00924E0F"/>
    <w:rsid w:val="009317E5"/>
    <w:rsid w:val="00933559"/>
    <w:rsid w:val="009339E0"/>
    <w:rsid w:val="00940025"/>
    <w:rsid w:val="00941F66"/>
    <w:rsid w:val="009535F8"/>
    <w:rsid w:val="009551EA"/>
    <w:rsid w:val="00964C33"/>
    <w:rsid w:val="00966C83"/>
    <w:rsid w:val="00975ABA"/>
    <w:rsid w:val="00981517"/>
    <w:rsid w:val="0099328F"/>
    <w:rsid w:val="00997F5D"/>
    <w:rsid w:val="009A0548"/>
    <w:rsid w:val="009A1B7E"/>
    <w:rsid w:val="009A4FC0"/>
    <w:rsid w:val="009A526D"/>
    <w:rsid w:val="009B35BB"/>
    <w:rsid w:val="009B596C"/>
    <w:rsid w:val="009C0127"/>
    <w:rsid w:val="009C0507"/>
    <w:rsid w:val="009D1DD9"/>
    <w:rsid w:val="009D26B1"/>
    <w:rsid w:val="009D31CC"/>
    <w:rsid w:val="009D7484"/>
    <w:rsid w:val="009F1EFD"/>
    <w:rsid w:val="009F3427"/>
    <w:rsid w:val="00A025FB"/>
    <w:rsid w:val="00A02E2F"/>
    <w:rsid w:val="00A04E0F"/>
    <w:rsid w:val="00A112D7"/>
    <w:rsid w:val="00A13712"/>
    <w:rsid w:val="00A209C0"/>
    <w:rsid w:val="00A33897"/>
    <w:rsid w:val="00A36C8E"/>
    <w:rsid w:val="00A46F1D"/>
    <w:rsid w:val="00A57A7E"/>
    <w:rsid w:val="00A62445"/>
    <w:rsid w:val="00A656AB"/>
    <w:rsid w:val="00A65FDB"/>
    <w:rsid w:val="00A758AC"/>
    <w:rsid w:val="00A80E7B"/>
    <w:rsid w:val="00A8352C"/>
    <w:rsid w:val="00A86E5D"/>
    <w:rsid w:val="00AA75C7"/>
    <w:rsid w:val="00AB0257"/>
    <w:rsid w:val="00AB054A"/>
    <w:rsid w:val="00AB4E66"/>
    <w:rsid w:val="00AC202D"/>
    <w:rsid w:val="00AC41E1"/>
    <w:rsid w:val="00AD0138"/>
    <w:rsid w:val="00AD5DD0"/>
    <w:rsid w:val="00AE229F"/>
    <w:rsid w:val="00AE670C"/>
    <w:rsid w:val="00AF2F26"/>
    <w:rsid w:val="00AF609E"/>
    <w:rsid w:val="00B12AC5"/>
    <w:rsid w:val="00B138A2"/>
    <w:rsid w:val="00B145F1"/>
    <w:rsid w:val="00B273ED"/>
    <w:rsid w:val="00B304B4"/>
    <w:rsid w:val="00B31554"/>
    <w:rsid w:val="00B319BE"/>
    <w:rsid w:val="00B361EE"/>
    <w:rsid w:val="00B37F23"/>
    <w:rsid w:val="00B4237F"/>
    <w:rsid w:val="00B47877"/>
    <w:rsid w:val="00B50C86"/>
    <w:rsid w:val="00B57E84"/>
    <w:rsid w:val="00B6463F"/>
    <w:rsid w:val="00B66033"/>
    <w:rsid w:val="00B7016E"/>
    <w:rsid w:val="00B728AD"/>
    <w:rsid w:val="00B821B8"/>
    <w:rsid w:val="00B853D1"/>
    <w:rsid w:val="00B928FD"/>
    <w:rsid w:val="00B93D81"/>
    <w:rsid w:val="00BA2D13"/>
    <w:rsid w:val="00BA3266"/>
    <w:rsid w:val="00BA4EBC"/>
    <w:rsid w:val="00BB6AD9"/>
    <w:rsid w:val="00BE2EA5"/>
    <w:rsid w:val="00BE78EE"/>
    <w:rsid w:val="00BE7BA0"/>
    <w:rsid w:val="00BF6C72"/>
    <w:rsid w:val="00C048D2"/>
    <w:rsid w:val="00C05EEE"/>
    <w:rsid w:val="00C17B48"/>
    <w:rsid w:val="00C23925"/>
    <w:rsid w:val="00C439CD"/>
    <w:rsid w:val="00C53290"/>
    <w:rsid w:val="00C53E2F"/>
    <w:rsid w:val="00C6147C"/>
    <w:rsid w:val="00C617E9"/>
    <w:rsid w:val="00C65E14"/>
    <w:rsid w:val="00C77F24"/>
    <w:rsid w:val="00C80D06"/>
    <w:rsid w:val="00C84830"/>
    <w:rsid w:val="00C91E89"/>
    <w:rsid w:val="00C91F97"/>
    <w:rsid w:val="00C961E1"/>
    <w:rsid w:val="00C97C24"/>
    <w:rsid w:val="00CB35F1"/>
    <w:rsid w:val="00CC4AB2"/>
    <w:rsid w:val="00CC4BDE"/>
    <w:rsid w:val="00CC535A"/>
    <w:rsid w:val="00CD220B"/>
    <w:rsid w:val="00CE0E74"/>
    <w:rsid w:val="00D01FB3"/>
    <w:rsid w:val="00D02B12"/>
    <w:rsid w:val="00D06A28"/>
    <w:rsid w:val="00D13DB9"/>
    <w:rsid w:val="00D14BC5"/>
    <w:rsid w:val="00D17614"/>
    <w:rsid w:val="00D27F35"/>
    <w:rsid w:val="00D30298"/>
    <w:rsid w:val="00D31E3A"/>
    <w:rsid w:val="00D324C7"/>
    <w:rsid w:val="00D40DE9"/>
    <w:rsid w:val="00D4554E"/>
    <w:rsid w:val="00D46FEC"/>
    <w:rsid w:val="00D50020"/>
    <w:rsid w:val="00D62017"/>
    <w:rsid w:val="00D629DC"/>
    <w:rsid w:val="00D669FD"/>
    <w:rsid w:val="00D67D67"/>
    <w:rsid w:val="00D83E39"/>
    <w:rsid w:val="00D85A3F"/>
    <w:rsid w:val="00D90635"/>
    <w:rsid w:val="00D91CE8"/>
    <w:rsid w:val="00DB08A6"/>
    <w:rsid w:val="00DB339C"/>
    <w:rsid w:val="00DD1B81"/>
    <w:rsid w:val="00DD2256"/>
    <w:rsid w:val="00DD29CB"/>
    <w:rsid w:val="00DD3786"/>
    <w:rsid w:val="00DE224C"/>
    <w:rsid w:val="00DE38EC"/>
    <w:rsid w:val="00DE405B"/>
    <w:rsid w:val="00DE4D14"/>
    <w:rsid w:val="00DF0077"/>
    <w:rsid w:val="00DF0BB5"/>
    <w:rsid w:val="00DF44EA"/>
    <w:rsid w:val="00DF6F22"/>
    <w:rsid w:val="00E07EE6"/>
    <w:rsid w:val="00E131EB"/>
    <w:rsid w:val="00E17ABB"/>
    <w:rsid w:val="00E22350"/>
    <w:rsid w:val="00E26545"/>
    <w:rsid w:val="00E35925"/>
    <w:rsid w:val="00E4196D"/>
    <w:rsid w:val="00E432D9"/>
    <w:rsid w:val="00E4644F"/>
    <w:rsid w:val="00E53979"/>
    <w:rsid w:val="00E540C9"/>
    <w:rsid w:val="00E63C4A"/>
    <w:rsid w:val="00E63CF8"/>
    <w:rsid w:val="00E72E7D"/>
    <w:rsid w:val="00E7717A"/>
    <w:rsid w:val="00E80FAA"/>
    <w:rsid w:val="00E83BA1"/>
    <w:rsid w:val="00E9318B"/>
    <w:rsid w:val="00EA087B"/>
    <w:rsid w:val="00EA0EED"/>
    <w:rsid w:val="00EA21A9"/>
    <w:rsid w:val="00EB0657"/>
    <w:rsid w:val="00EC00C0"/>
    <w:rsid w:val="00EC5F7C"/>
    <w:rsid w:val="00EC6228"/>
    <w:rsid w:val="00ED3AE0"/>
    <w:rsid w:val="00ED59B6"/>
    <w:rsid w:val="00EF1514"/>
    <w:rsid w:val="00F00675"/>
    <w:rsid w:val="00F00797"/>
    <w:rsid w:val="00F03789"/>
    <w:rsid w:val="00F10DAA"/>
    <w:rsid w:val="00F110FF"/>
    <w:rsid w:val="00F126B7"/>
    <w:rsid w:val="00F1351A"/>
    <w:rsid w:val="00F22B52"/>
    <w:rsid w:val="00F25D4D"/>
    <w:rsid w:val="00F266EB"/>
    <w:rsid w:val="00F27C67"/>
    <w:rsid w:val="00F346C8"/>
    <w:rsid w:val="00F360D1"/>
    <w:rsid w:val="00F36172"/>
    <w:rsid w:val="00F37842"/>
    <w:rsid w:val="00F40181"/>
    <w:rsid w:val="00F51592"/>
    <w:rsid w:val="00F51CD0"/>
    <w:rsid w:val="00F67FDA"/>
    <w:rsid w:val="00F70B99"/>
    <w:rsid w:val="00F721A1"/>
    <w:rsid w:val="00F7767B"/>
    <w:rsid w:val="00F804C6"/>
    <w:rsid w:val="00F821C1"/>
    <w:rsid w:val="00F8309B"/>
    <w:rsid w:val="00FA734F"/>
    <w:rsid w:val="00FB04E0"/>
    <w:rsid w:val="00FB06F9"/>
    <w:rsid w:val="00FB433A"/>
    <w:rsid w:val="00FB7CE7"/>
    <w:rsid w:val="00FC0952"/>
    <w:rsid w:val="00FC474B"/>
    <w:rsid w:val="00FD20B5"/>
    <w:rsid w:val="00FD3F1C"/>
    <w:rsid w:val="00FD50CD"/>
    <w:rsid w:val="00FF374C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B6BB"/>
  <w15:docId w15:val="{146F9DCF-FAF9-43B0-BFC7-707C918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60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360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60D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360D1"/>
    <w:rPr>
      <w:vertAlign w:val="superscript"/>
    </w:rPr>
  </w:style>
  <w:style w:type="paragraph" w:styleId="Prrafodelista">
    <w:name w:val="List Paragraph"/>
    <w:basedOn w:val="Normal"/>
    <w:uiPriority w:val="34"/>
    <w:qFormat/>
    <w:rsid w:val="004C6FD5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72"/>
    <w:rsid w:val="007E6B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5F1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45F1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1602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</dc:creator>
  <cp:keywords/>
  <dc:description/>
  <cp:lastModifiedBy>Matias Pulopulos Tripiana</cp:lastModifiedBy>
  <cp:revision>5</cp:revision>
  <dcterms:created xsi:type="dcterms:W3CDTF">2016-02-28T21:29:00Z</dcterms:created>
  <dcterms:modified xsi:type="dcterms:W3CDTF">2016-02-28T22:39:00Z</dcterms:modified>
</cp:coreProperties>
</file>